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5A9816">
      <w:pPr>
        <w:pStyle w:val="33"/>
        <w:spacing w:before="0" w:after="360" w:line="360" w:lineRule="auto"/>
        <w:jc w:val="center"/>
        <w:rPr>
          <w:rFonts w:ascii="Times New Roman" w:hAnsi="Times New Roman" w:eastAsia="黑体"/>
          <w:b/>
          <w:color w:val="000000"/>
          <w:sz w:val="36"/>
        </w:rPr>
      </w:pPr>
      <w:r>
        <w:rPr>
          <w:rFonts w:ascii="Times New Roman" w:hAnsi="Times New Roman" w:eastAsia="黑体"/>
          <w:b/>
          <w:color w:val="000000"/>
          <w:sz w:val="36"/>
        </w:rPr>
        <w:t>合并不完全性肠梗阻的结肠癌住院诊疗流程</w:t>
      </w:r>
    </w:p>
    <w:p w14:paraId="1C1A00B9">
      <w:pPr>
        <w:pStyle w:val="33"/>
        <w:spacing w:before="0" w:after="360" w:line="360" w:lineRule="auto"/>
        <w:jc w:val="center"/>
        <w:rPr>
          <w:rFonts w:ascii="Times New Roman" w:hAnsi="Times New Roman" w:eastAsia="黑体"/>
          <w:b/>
          <w:color w:val="000000"/>
          <w:sz w:val="36"/>
        </w:rPr>
      </w:pPr>
      <w:r>
        <w:rPr>
          <w:rFonts w:ascii="Times New Roman" w:hAnsi="Times New Roman" w:eastAsia="黑体"/>
          <w:b/>
          <w:color w:val="000000"/>
          <w:sz w:val="36"/>
        </w:rPr>
        <w:t>（结合CSCO 2026版指南）</w:t>
      </w:r>
    </w:p>
    <w:p w14:paraId="67510841">
      <w:pPr>
        <w:pStyle w:val="33"/>
        <w:spacing w:before="0" w:after="360" w:line="360" w:lineRule="auto"/>
        <w:jc w:val="center"/>
        <w:rPr>
          <w:rFonts w:hint="eastAsia" w:ascii="Times New Roman" w:hAnsi="Times New Roman" w:eastAsia="黑体"/>
          <w:b/>
          <w:color w:val="000000"/>
          <w:sz w:val="36"/>
          <w:lang w:val="en-US" w:eastAsia="zh-CN"/>
        </w:rPr>
      </w:pPr>
      <w:r>
        <w:rPr>
          <w:rFonts w:hint="eastAsia" w:ascii="Times New Roman" w:hAnsi="Times New Roman" w:eastAsia="黑体"/>
          <w:b/>
          <w:color w:val="000000"/>
          <w:sz w:val="36"/>
          <w:lang w:val="en-US" w:eastAsia="zh-CN"/>
        </w:rPr>
        <w:t>白少华</w:t>
      </w:r>
    </w:p>
    <w:p w14:paraId="5B70CC14">
      <w:pPr>
        <w:jc w:val="center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个人观点，仅供参考，不作为具体诊疗依据，不承担任何法律后果。</w:t>
      </w:r>
    </w:p>
    <w:p w14:paraId="102ACA6F">
      <w:pPr>
        <w:tabs>
          <w:tab w:val="left" w:pos="1095"/>
        </w:tabs>
        <w:bidi w:val="0"/>
        <w:jc w:val="left"/>
        <w:rPr>
          <w:rFonts w:hint="eastAsia"/>
          <w:lang w:val="en-US" w:eastAsia="zh-CN"/>
        </w:rPr>
      </w:pPr>
    </w:p>
    <w:p w14:paraId="2DC47C4E">
      <w:pPr>
        <w:pageBreakBefore/>
        <w:spacing w:before="0" w:after="240" w:line="360" w:lineRule="auto"/>
        <w:jc w:val="center"/>
      </w:pPr>
      <w:r>
        <w:rPr>
          <w:rFonts w:ascii="Times New Roman" w:hAnsi="Times New Roman" w:eastAsia="黑体"/>
          <w:b/>
          <w:color w:val="000000"/>
          <w:sz w:val="32"/>
        </w:rPr>
        <w:t>目录</w:t>
      </w:r>
    </w:p>
    <w:p w14:paraId="454DA410">
      <w:pPr>
        <w:pStyle w:val="26"/>
        <w:tabs>
          <w:tab w:val="right" w:leader="dot" w:pos="9072"/>
        </w:tabs>
      </w:pPr>
      <w:r>
        <w:fldChar w:fldCharType="begin"/>
      </w:r>
      <w:r>
        <w:instrText xml:space="preserve"> TOC \o "1-2" \h \z \u </w:instrText>
      </w:r>
      <w:r>
        <w:fldChar w:fldCharType="separate"/>
      </w:r>
      <w:r>
        <w:fldChar w:fldCharType="begin"/>
      </w:r>
      <w:r>
        <w:instrText xml:space="preserve"> HYPERLINK \l "_LarkToc00001" </w:instrText>
      </w:r>
      <w:r>
        <w:fldChar w:fldCharType="separate"/>
      </w:r>
      <w:r>
        <w:t>一、门诊阶段：肠镜/影像提示结肠癌合并不完全性肠梗阻，开</w:t>
      </w:r>
      <w:r>
        <w:rPr>
          <w:rFonts w:hint="eastAsia"/>
          <w:lang w:val="en-US" w:eastAsia="zh-CN"/>
        </w:rPr>
        <w:t>具</w:t>
      </w:r>
      <w:r>
        <w:t>住院证</w:t>
      </w:r>
      <w:r>
        <w:tab/>
      </w:r>
      <w:r>
        <w:fldChar w:fldCharType="begin"/>
      </w:r>
      <w:r>
        <w:instrText xml:space="preserve"> PAGEREF _LarkToc00001 \h </w:instrText>
      </w:r>
      <w:r>
        <w:fldChar w:fldCharType="separate"/>
      </w:r>
      <w:r>
        <w:t>3</w:t>
      </w:r>
      <w:r>
        <w:fldChar w:fldCharType="end"/>
      </w:r>
      <w:r>
        <w:fldChar w:fldCharType="end"/>
      </w:r>
    </w:p>
    <w:p w14:paraId="201FB009">
      <w:pPr>
        <w:pStyle w:val="29"/>
        <w:tabs>
          <w:tab w:val="right" w:leader="dot" w:pos="9072"/>
        </w:tabs>
      </w:pPr>
      <w:r>
        <w:fldChar w:fldCharType="begin"/>
      </w:r>
      <w:r>
        <w:instrText xml:space="preserve"> HYPERLINK \l "_LarkToc00002" </w:instrText>
      </w:r>
      <w:r>
        <w:fldChar w:fldCharType="separate"/>
      </w:r>
      <w:r>
        <w:t>1. 门诊识别梗阻征象</w:t>
      </w:r>
      <w:r>
        <w:tab/>
      </w:r>
      <w:r>
        <w:fldChar w:fldCharType="begin"/>
      </w:r>
      <w:r>
        <w:instrText xml:space="preserve"> PAGEREF _LarkToc00002 \h </w:instrText>
      </w:r>
      <w:r>
        <w:fldChar w:fldCharType="separate"/>
      </w:r>
      <w:r>
        <w:t>3</w:t>
      </w:r>
      <w:r>
        <w:fldChar w:fldCharType="end"/>
      </w:r>
      <w:r>
        <w:fldChar w:fldCharType="end"/>
      </w:r>
    </w:p>
    <w:p w14:paraId="6FD60DFD">
      <w:pPr>
        <w:pStyle w:val="29"/>
        <w:tabs>
          <w:tab w:val="right" w:leader="dot" w:pos="9072"/>
        </w:tabs>
      </w:pPr>
      <w:r>
        <w:fldChar w:fldCharType="begin"/>
      </w:r>
      <w:r>
        <w:instrText xml:space="preserve"> HYPERLINK \l "_LarkToc00003" </w:instrText>
      </w:r>
      <w:r>
        <w:fldChar w:fldCharType="separate"/>
      </w:r>
      <w:r>
        <w:t>2. 门诊医生判断有住院指征</w:t>
      </w:r>
      <w:r>
        <w:tab/>
      </w:r>
      <w:r>
        <w:fldChar w:fldCharType="begin"/>
      </w:r>
      <w:r>
        <w:instrText xml:space="preserve"> PAGEREF _LarkToc00003 \h </w:instrText>
      </w:r>
      <w:r>
        <w:fldChar w:fldCharType="separate"/>
      </w:r>
      <w:r>
        <w:t>3</w:t>
      </w:r>
      <w:r>
        <w:fldChar w:fldCharType="end"/>
      </w:r>
      <w:r>
        <w:fldChar w:fldCharType="end"/>
      </w:r>
    </w:p>
    <w:p w14:paraId="4D0D9A21">
      <w:pPr>
        <w:pStyle w:val="29"/>
        <w:tabs>
          <w:tab w:val="right" w:leader="dot" w:pos="9072"/>
        </w:tabs>
      </w:pPr>
      <w:r>
        <w:fldChar w:fldCharType="begin"/>
      </w:r>
      <w:r>
        <w:instrText xml:space="preserve"> HYPERLINK \l "_LarkToc00004" </w:instrText>
      </w:r>
      <w:r>
        <w:fldChar w:fldCharType="separate"/>
      </w:r>
      <w:r>
        <w:t>3. 与患者沟通</w:t>
      </w:r>
      <w:r>
        <w:tab/>
      </w:r>
      <w:r>
        <w:fldChar w:fldCharType="begin"/>
      </w:r>
      <w:r>
        <w:instrText xml:space="preserve"> PAGEREF _LarkToc00004 \h </w:instrText>
      </w:r>
      <w:r>
        <w:fldChar w:fldCharType="separate"/>
      </w:r>
      <w:r>
        <w:t>3</w:t>
      </w:r>
      <w:r>
        <w:fldChar w:fldCharType="end"/>
      </w:r>
      <w:r>
        <w:fldChar w:fldCharType="end"/>
      </w:r>
    </w:p>
    <w:p w14:paraId="678A9173">
      <w:pPr>
        <w:pStyle w:val="29"/>
        <w:tabs>
          <w:tab w:val="right" w:leader="dot" w:pos="9072"/>
        </w:tabs>
      </w:pPr>
      <w:r>
        <w:fldChar w:fldCharType="begin"/>
      </w:r>
      <w:r>
        <w:instrText xml:space="preserve"> HYPERLINK \l "_LarkToc00005" </w:instrText>
      </w:r>
      <w:r>
        <w:fldChar w:fldCharType="separate"/>
      </w:r>
      <w:r>
        <w:t>4. 办理入院</w:t>
      </w:r>
      <w:r>
        <w:tab/>
      </w:r>
      <w:r>
        <w:fldChar w:fldCharType="begin"/>
      </w:r>
      <w:r>
        <w:instrText xml:space="preserve"> PAGEREF _LarkToc00005 \h </w:instrText>
      </w:r>
      <w:r>
        <w:fldChar w:fldCharType="separate"/>
      </w:r>
      <w:r>
        <w:t>3</w:t>
      </w:r>
      <w:r>
        <w:fldChar w:fldCharType="end"/>
      </w:r>
      <w:r>
        <w:fldChar w:fldCharType="end"/>
      </w:r>
    </w:p>
    <w:p w14:paraId="36AF0773">
      <w:pPr>
        <w:pStyle w:val="26"/>
        <w:tabs>
          <w:tab w:val="right" w:leader="dot" w:pos="9072"/>
        </w:tabs>
      </w:pPr>
      <w:r>
        <w:fldChar w:fldCharType="begin"/>
      </w:r>
      <w:r>
        <w:instrText xml:space="preserve"> HYPERLINK \l "_LarkToc00006" </w:instrText>
      </w:r>
      <w:r>
        <w:fldChar w:fldCharType="separate"/>
      </w:r>
      <w:r>
        <w:t>二、住院后第1—3天：梗阻评估与初始处理＋病理追踪＋分子检测启动</w:t>
      </w:r>
      <w:r>
        <w:tab/>
      </w:r>
      <w:r>
        <w:fldChar w:fldCharType="begin"/>
      </w:r>
      <w:r>
        <w:instrText xml:space="preserve"> PAGEREF _LarkToc00006 \h 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 w14:paraId="171212BE">
      <w:pPr>
        <w:pStyle w:val="29"/>
        <w:tabs>
          <w:tab w:val="right" w:leader="dot" w:pos="9072"/>
        </w:tabs>
      </w:pPr>
      <w:r>
        <w:fldChar w:fldCharType="begin"/>
      </w:r>
      <w:r>
        <w:instrText xml:space="preserve"> HYPERLINK \l "_LarkToc00007" </w:instrText>
      </w:r>
      <w:r>
        <w:fldChar w:fldCharType="separate"/>
      </w:r>
      <w:r>
        <w:t>1. 梗阻严重程度评估</w:t>
      </w:r>
      <w:r>
        <w:tab/>
      </w:r>
      <w:r>
        <w:fldChar w:fldCharType="begin"/>
      </w:r>
      <w:r>
        <w:instrText xml:space="preserve"> PAGEREF _LarkToc00007 \h 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 w14:paraId="5F0534F4">
      <w:pPr>
        <w:pStyle w:val="29"/>
        <w:tabs>
          <w:tab w:val="right" w:leader="dot" w:pos="9072"/>
        </w:tabs>
      </w:pPr>
      <w:r>
        <w:fldChar w:fldCharType="begin"/>
      </w:r>
      <w:r>
        <w:instrText xml:space="preserve"> HYPERLINK \l "_LarkToc00008" </w:instrText>
      </w:r>
      <w:r>
        <w:fldChar w:fldCharType="separate"/>
      </w:r>
      <w:r>
        <w:t>2. 非手术治疗（首要任务）</w:t>
      </w:r>
      <w:r>
        <w:tab/>
      </w:r>
      <w:r>
        <w:fldChar w:fldCharType="begin"/>
      </w:r>
      <w:r>
        <w:instrText xml:space="preserve"> PAGEREF _LarkToc00008 \h 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 w14:paraId="458EE338">
      <w:pPr>
        <w:pStyle w:val="29"/>
        <w:tabs>
          <w:tab w:val="right" w:leader="dot" w:pos="9072"/>
        </w:tabs>
      </w:pPr>
      <w:r>
        <w:fldChar w:fldCharType="begin"/>
      </w:r>
      <w:r>
        <w:instrText xml:space="preserve"> HYPERLINK \l "_LarkToc00009" </w:instrText>
      </w:r>
      <w:r>
        <w:fldChar w:fldCharType="separate"/>
      </w:r>
      <w:r>
        <w:t>3. 追踪病理与启动分子检测</w:t>
      </w:r>
      <w:r>
        <w:tab/>
      </w:r>
      <w:r>
        <w:fldChar w:fldCharType="begin"/>
      </w:r>
      <w:r>
        <w:instrText xml:space="preserve"> PAGEREF _LarkToc00009 \h </w:instrText>
      </w:r>
      <w:r>
        <w:fldChar w:fldCharType="separate"/>
      </w:r>
      <w:r>
        <w:t>5</w:t>
      </w:r>
      <w:r>
        <w:fldChar w:fldCharType="end"/>
      </w:r>
      <w:r>
        <w:fldChar w:fldCharType="end"/>
      </w:r>
    </w:p>
    <w:p w14:paraId="69246FC5">
      <w:pPr>
        <w:pStyle w:val="29"/>
        <w:tabs>
          <w:tab w:val="right" w:leader="dot" w:pos="9072"/>
        </w:tabs>
      </w:pPr>
      <w:r>
        <w:fldChar w:fldCharType="begin"/>
      </w:r>
      <w:r>
        <w:instrText xml:space="preserve"> HYPERLINK \l "_LarkToc00010" </w:instrText>
      </w:r>
      <w:r>
        <w:fldChar w:fldCharType="separate"/>
      </w:r>
      <w:r>
        <w:t>4. 梗阻缓解后的进一步评估</w:t>
      </w:r>
      <w:r>
        <w:tab/>
      </w:r>
      <w:r>
        <w:fldChar w:fldCharType="begin"/>
      </w:r>
      <w:r>
        <w:instrText xml:space="preserve"> PAGEREF _LarkToc00010 \h </w:instrText>
      </w:r>
      <w:r>
        <w:fldChar w:fldCharType="separate"/>
      </w:r>
      <w:r>
        <w:t>5</w:t>
      </w:r>
      <w:r>
        <w:fldChar w:fldCharType="end"/>
      </w:r>
      <w:r>
        <w:fldChar w:fldCharType="end"/>
      </w:r>
    </w:p>
    <w:p w14:paraId="03566D8D">
      <w:pPr>
        <w:pStyle w:val="26"/>
        <w:tabs>
          <w:tab w:val="right" w:leader="dot" w:pos="9072"/>
        </w:tabs>
      </w:pPr>
      <w:r>
        <w:fldChar w:fldCharType="begin"/>
      </w:r>
      <w:r>
        <w:instrText xml:space="preserve"> HYPERLINK \l "_LarkToc00011" </w:instrText>
      </w:r>
      <w:r>
        <w:fldChar w:fldCharType="separate"/>
      </w:r>
      <w:r>
        <w:t>三、梗阻缓解后（转入“无须急诊处理”状态）：按 CSCO 2026 版指南分层决策</w:t>
      </w:r>
      <w:r>
        <w:tab/>
      </w:r>
      <w:r>
        <w:fldChar w:fldCharType="begin"/>
      </w:r>
      <w:r>
        <w:instrText xml:space="preserve"> PAGEREF _LarkToc00011 \h </w:instrText>
      </w:r>
      <w:r>
        <w:fldChar w:fldCharType="separate"/>
      </w:r>
      <w:r>
        <w:t>5</w:t>
      </w:r>
      <w:r>
        <w:fldChar w:fldCharType="end"/>
      </w:r>
      <w:r>
        <w:fldChar w:fldCharType="end"/>
      </w:r>
    </w:p>
    <w:p w14:paraId="5FDD99A8">
      <w:pPr>
        <w:pStyle w:val="29"/>
        <w:tabs>
          <w:tab w:val="right" w:leader="dot" w:pos="9072"/>
        </w:tabs>
      </w:pPr>
      <w:r>
        <w:fldChar w:fldCharType="begin"/>
      </w:r>
      <w:r>
        <w:instrText xml:space="preserve"> HYPERLINK \l "_LarkToc00012" </w:instrText>
      </w:r>
      <w:r>
        <w:fldChar w:fldCharType="separate"/>
      </w:r>
      <w:r>
        <w:t>（一）MSI-H/dMMR患者</w:t>
      </w:r>
      <w:r>
        <w:tab/>
      </w:r>
      <w:r>
        <w:fldChar w:fldCharType="begin"/>
      </w:r>
      <w:r>
        <w:instrText xml:space="preserve"> PAGEREF _LarkToc00012 \h </w:instrText>
      </w:r>
      <w:r>
        <w:fldChar w:fldCharType="separate"/>
      </w:r>
      <w:r>
        <w:t>5</w:t>
      </w:r>
      <w:r>
        <w:fldChar w:fldCharType="end"/>
      </w:r>
      <w:r>
        <w:fldChar w:fldCharType="end"/>
      </w:r>
    </w:p>
    <w:p w14:paraId="7173C7B7">
      <w:pPr>
        <w:pStyle w:val="29"/>
        <w:tabs>
          <w:tab w:val="right" w:leader="dot" w:pos="9072"/>
        </w:tabs>
      </w:pPr>
      <w:r>
        <w:fldChar w:fldCharType="begin"/>
      </w:r>
      <w:r>
        <w:instrText xml:space="preserve"> HYPERLINK \l "_LarkToc00013" </w:instrText>
      </w:r>
      <w:r>
        <w:fldChar w:fldCharType="separate"/>
      </w:r>
      <w:r>
        <w:t>（二）MSS/pMMR患者</w:t>
      </w:r>
      <w:r>
        <w:tab/>
      </w:r>
      <w:r>
        <w:fldChar w:fldCharType="begin"/>
      </w:r>
      <w:r>
        <w:instrText xml:space="preserve"> PAGEREF _LarkToc00013 \h </w:instrText>
      </w:r>
      <w:r>
        <w:fldChar w:fldCharType="separate"/>
      </w:r>
      <w:r>
        <w:t>6</w:t>
      </w:r>
      <w:r>
        <w:fldChar w:fldCharType="end"/>
      </w:r>
      <w:r>
        <w:fldChar w:fldCharType="end"/>
      </w:r>
    </w:p>
    <w:p w14:paraId="5171B17C">
      <w:pPr>
        <w:pStyle w:val="26"/>
        <w:tabs>
          <w:tab w:val="right" w:leader="dot" w:pos="9072"/>
        </w:tabs>
      </w:pPr>
      <w:r>
        <w:fldChar w:fldCharType="begin"/>
      </w:r>
      <w:r>
        <w:instrText xml:space="preserve"> HYPERLINK \l "_LarkToc00014" </w:instrText>
      </w:r>
      <w:r>
        <w:fldChar w:fldCharType="separate"/>
      </w:r>
      <w:r>
        <w:t>四、合并不完全性肠梗阻的特殊路径：支架桥接策略</w:t>
      </w:r>
      <w:r>
        <w:tab/>
      </w:r>
      <w:r>
        <w:fldChar w:fldCharType="begin"/>
      </w:r>
      <w:r>
        <w:instrText xml:space="preserve"> PAGEREF _LarkToc00014 \h </w:instrText>
      </w:r>
      <w:r>
        <w:fldChar w:fldCharType="separate"/>
      </w:r>
      <w:r>
        <w:t>6</w:t>
      </w:r>
      <w:r>
        <w:fldChar w:fldCharType="end"/>
      </w:r>
      <w:r>
        <w:fldChar w:fldCharType="end"/>
      </w:r>
    </w:p>
    <w:p w14:paraId="5BB0B0F4">
      <w:pPr>
        <w:pStyle w:val="29"/>
        <w:tabs>
          <w:tab w:val="right" w:leader="dot" w:pos="9072"/>
        </w:tabs>
      </w:pPr>
      <w:r>
        <w:fldChar w:fldCharType="begin"/>
      </w:r>
      <w:r>
        <w:instrText xml:space="preserve"> HYPERLINK \l "_LarkToc00015" </w:instrText>
      </w:r>
      <w:r>
        <w:fldChar w:fldCharType="separate"/>
      </w:r>
      <w:r>
        <w:t>1. SEMS的定位</w:t>
      </w:r>
      <w:r>
        <w:tab/>
      </w:r>
      <w:r>
        <w:fldChar w:fldCharType="begin"/>
      </w:r>
      <w:r>
        <w:instrText xml:space="preserve"> PAGEREF _LarkToc00015 \h </w:instrText>
      </w:r>
      <w:r>
        <w:fldChar w:fldCharType="separate"/>
      </w:r>
      <w:r>
        <w:t>6</w:t>
      </w:r>
      <w:r>
        <w:fldChar w:fldCharType="end"/>
      </w:r>
      <w:r>
        <w:fldChar w:fldCharType="end"/>
      </w:r>
    </w:p>
    <w:p w14:paraId="6E0F08BE">
      <w:pPr>
        <w:pStyle w:val="29"/>
        <w:tabs>
          <w:tab w:val="right" w:leader="dot" w:pos="9072"/>
        </w:tabs>
      </w:pPr>
      <w:r>
        <w:fldChar w:fldCharType="begin"/>
      </w:r>
      <w:r>
        <w:instrText xml:space="preserve"> HYPERLINK \l "_LarkToc00016" </w:instrText>
      </w:r>
      <w:r>
        <w:fldChar w:fldCharType="separate"/>
      </w:r>
      <w:r>
        <w:t>2. 支架后的手术时机</w:t>
      </w:r>
      <w:r>
        <w:tab/>
      </w:r>
      <w:r>
        <w:fldChar w:fldCharType="begin"/>
      </w:r>
      <w:r>
        <w:instrText xml:space="preserve"> PAGEREF _LarkToc00016 \h 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 w14:paraId="50952EC5">
      <w:pPr>
        <w:pStyle w:val="29"/>
        <w:tabs>
          <w:tab w:val="right" w:leader="dot" w:pos="9072"/>
        </w:tabs>
      </w:pPr>
      <w:r>
        <w:fldChar w:fldCharType="begin"/>
      </w:r>
      <w:r>
        <w:instrText xml:space="preserve"> HYPERLINK \l "_LarkToc00017" </w:instrText>
      </w:r>
      <w:r>
        <w:fldChar w:fldCharType="separate"/>
      </w:r>
      <w:r>
        <w:t>3. 支架后联合新辅助治疗的探索</w:t>
      </w:r>
      <w:r>
        <w:tab/>
      </w:r>
      <w:r>
        <w:fldChar w:fldCharType="begin"/>
      </w:r>
      <w:r>
        <w:instrText xml:space="preserve"> PAGEREF _LarkToc00017 \h 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 w14:paraId="629FB3DC">
      <w:pPr>
        <w:pStyle w:val="26"/>
        <w:tabs>
          <w:tab w:val="right" w:leader="dot" w:pos="9072"/>
        </w:tabs>
      </w:pPr>
      <w:r>
        <w:fldChar w:fldCharType="begin"/>
      </w:r>
      <w:r>
        <w:instrText xml:space="preserve"> HYPERLINK \l "_LarkToc00018" </w:instrText>
      </w:r>
      <w:r>
        <w:fldChar w:fldCharType="separate"/>
      </w:r>
      <w:r>
        <w:t>五、急诊手术路径（梗阻加重或保守治疗无效时）</w:t>
      </w:r>
      <w:r>
        <w:tab/>
      </w:r>
      <w:r>
        <w:fldChar w:fldCharType="begin"/>
      </w:r>
      <w:r>
        <w:instrText xml:space="preserve"> PAGEREF _LarkToc00018 \h 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 w14:paraId="4BFF250E">
      <w:pPr>
        <w:pStyle w:val="26"/>
        <w:tabs>
          <w:tab w:val="right" w:leader="dot" w:pos="9072"/>
        </w:tabs>
      </w:pPr>
      <w:r>
        <w:fldChar w:fldCharType="begin"/>
      </w:r>
      <w:r>
        <w:instrText xml:space="preserve"> HYPERLINK \l "_LarkToc00019" </w:instrText>
      </w:r>
      <w:r>
        <w:fldChar w:fldCharType="separate"/>
      </w:r>
      <w:r>
        <w:t>六、术后辅助化疗（2026版指南更新）</w:t>
      </w:r>
      <w:r>
        <w:tab/>
      </w:r>
      <w:r>
        <w:fldChar w:fldCharType="begin"/>
      </w:r>
      <w:r>
        <w:instrText xml:space="preserve"> PAGEREF _LarkToc00019 \h </w:instrText>
      </w:r>
      <w:r>
        <w:fldChar w:fldCharType="separate"/>
      </w:r>
      <w:r>
        <w:t>8</w:t>
      </w:r>
      <w:r>
        <w:fldChar w:fldCharType="end"/>
      </w:r>
      <w:r>
        <w:fldChar w:fldCharType="end"/>
      </w:r>
    </w:p>
    <w:p w14:paraId="1FA07625">
      <w:pPr>
        <w:pStyle w:val="26"/>
        <w:tabs>
          <w:tab w:val="right" w:leader="dot" w:pos="9072"/>
        </w:tabs>
      </w:pPr>
      <w:r>
        <w:fldChar w:fldCharType="begin"/>
      </w:r>
      <w:r>
        <w:instrText xml:space="preserve"> HYPERLINK \l "_LarkToc00020" </w:instrText>
      </w:r>
      <w:r>
        <w:fldChar w:fldCharType="separate"/>
      </w:r>
      <w:r>
        <w:t>七、出院标准与随访</w:t>
      </w:r>
      <w:r>
        <w:tab/>
      </w:r>
      <w:r>
        <w:fldChar w:fldCharType="begin"/>
      </w:r>
      <w:r>
        <w:instrText xml:space="preserve"> PAGEREF _LarkToc00020 \h </w:instrText>
      </w:r>
      <w:r>
        <w:fldChar w:fldCharType="separate"/>
      </w:r>
      <w:r>
        <w:t>10</w:t>
      </w:r>
      <w:r>
        <w:fldChar w:fldCharType="end"/>
      </w:r>
      <w:r>
        <w:fldChar w:fldCharType="end"/>
      </w:r>
    </w:p>
    <w:p w14:paraId="518E4A8B">
      <w:pPr>
        <w:pStyle w:val="26"/>
        <w:tabs>
          <w:tab w:val="right" w:leader="dot" w:pos="9072"/>
        </w:tabs>
      </w:pPr>
      <w:r>
        <w:fldChar w:fldCharType="begin"/>
      </w:r>
      <w:r>
        <w:instrText xml:space="preserve"> HYPERLINK \l "_LarkToc00021" </w:instrText>
      </w:r>
      <w:r>
        <w:fldChar w:fldCharType="separate"/>
      </w:r>
      <w:r>
        <w:t>八、梗阻场景下的病历书写与医保注意事项</w:t>
      </w:r>
      <w:r>
        <w:tab/>
      </w:r>
      <w:r>
        <w:fldChar w:fldCharType="begin"/>
      </w:r>
      <w:r>
        <w:instrText xml:space="preserve"> PAGEREF _LarkToc00021 \h </w:instrText>
      </w:r>
      <w:r>
        <w:fldChar w:fldCharType="separate"/>
      </w:r>
      <w:r>
        <w:t>12</w:t>
      </w:r>
      <w:r>
        <w:fldChar w:fldCharType="end"/>
      </w:r>
      <w:r>
        <w:fldChar w:fldCharType="end"/>
      </w:r>
    </w:p>
    <w:p w14:paraId="67400DF7">
      <w:pPr>
        <w:pStyle w:val="26"/>
        <w:tabs>
          <w:tab w:val="right" w:leader="dot" w:pos="9072"/>
        </w:tabs>
      </w:pPr>
      <w:r>
        <w:fldChar w:fldCharType="begin"/>
      </w:r>
      <w:r>
        <w:instrText xml:space="preserve"> HYPERLINK \l "_LarkToc00022" </w:instrText>
      </w:r>
      <w:r>
        <w:fldChar w:fldCharType="separate"/>
      </w:r>
      <w:r>
        <w:t>九、与非梗阻结肠癌流程的核心差异总结</w:t>
      </w:r>
      <w:r>
        <w:tab/>
      </w:r>
      <w:r>
        <w:fldChar w:fldCharType="begin"/>
      </w:r>
      <w:r>
        <w:instrText xml:space="preserve"> PAGEREF _LarkToc00022 \h </w:instrText>
      </w:r>
      <w:r>
        <w:fldChar w:fldCharType="separate"/>
      </w:r>
      <w:r>
        <w:t>12</w:t>
      </w:r>
      <w:r>
        <w:fldChar w:fldCharType="end"/>
      </w:r>
      <w:r>
        <w:fldChar w:fldCharType="end"/>
      </w:r>
      <w:r>
        <w:fldChar w:fldCharType="end"/>
      </w:r>
    </w:p>
    <w:p w14:paraId="1D3B0E13">
      <w:r>
        <w:br w:type="page"/>
      </w:r>
    </w:p>
    <w:p w14:paraId="0E84EBEB">
      <w:pPr>
        <w:spacing w:before="0" w:after="0" w:line="360" w:lineRule="auto"/>
        <w:ind w:firstLine="482" w:firstLineChars="20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核心修订说明</w:t>
      </w:r>
      <w:r>
        <w:rPr>
          <w:rFonts w:ascii="Times New Roman" w:hAnsi="Times New Roman" w:eastAsia="宋体"/>
          <w:b w:val="0"/>
          <w:color w:val="000000"/>
          <w:sz w:val="24"/>
        </w:rPr>
        <w:t>：合并不完全性肠梗阻的结肠癌与无梗阻结肠癌的核心区别在于：</w:t>
      </w:r>
      <w:r>
        <w:rPr>
          <w:rFonts w:ascii="Times New Roman" w:hAnsi="Times New Roman" w:eastAsia="宋体"/>
          <w:b/>
          <w:color w:val="000000"/>
          <w:sz w:val="24"/>
        </w:rPr>
        <w:t>梗阻的紧急程度和肠道条件直接决定了治疗路径</w:t>
      </w:r>
      <w:r>
        <w:rPr>
          <w:rFonts w:ascii="Times New Roman" w:hAnsi="Times New Roman" w:eastAsia="宋体"/>
          <w:b w:val="0"/>
          <w:color w:val="000000"/>
          <w:sz w:val="24"/>
        </w:rPr>
        <w:t>。CSCO 2026版指南将“手术治疗”更名为“围手术期治疗”，其MSI-H/dMMR新辅助免疫治疗的Ⅰ级推荐明确限定于</w:t>
      </w:r>
      <w:r>
        <w:rPr>
          <w:rFonts w:ascii="Times New Roman" w:hAnsi="Times New Roman" w:eastAsia="宋体"/>
          <w:b/>
          <w:color w:val="000000"/>
          <w:sz w:val="24"/>
        </w:rPr>
        <w:t>“无须急诊处理的症状”</w:t>
      </w:r>
      <w:r>
        <w:rPr>
          <w:rFonts w:ascii="Times New Roman" w:hAnsi="Times New Roman" w:eastAsia="宋体"/>
          <w:b w:val="0"/>
          <w:color w:val="000000"/>
          <w:sz w:val="24"/>
        </w:rPr>
        <w:t>人群。因此，合并不完全性肠梗阻的患者能否进入新辅助治疗路径，首先取决于梗阻能否通过非手术手段有效缓解、转变为“无须急诊处理”的状态。</w:t>
      </w:r>
    </w:p>
    <w:p w14:paraId="2C98F6D9">
      <w:pPr>
        <w:pStyle w:val="3"/>
        <w:keepNext/>
        <w:spacing w:before="280" w:after="120" w:line="360" w:lineRule="auto"/>
      </w:pPr>
      <w:bookmarkStart w:id="0" w:name="_LarkToc00001"/>
      <w:r>
        <w:rPr>
          <w:rFonts w:ascii="Times New Roman" w:hAnsi="Times New Roman" w:eastAsia="黑体"/>
          <w:b/>
          <w:color w:val="000000"/>
          <w:sz w:val="32"/>
        </w:rPr>
        <w:t>一、门诊阶段：肠镜/影像提示结肠癌合并不完全性肠梗阻，开</w:t>
      </w:r>
      <w:r>
        <w:rPr>
          <w:rFonts w:hint="eastAsia" w:ascii="Times New Roman" w:hAnsi="Times New Roman" w:eastAsia="黑体"/>
          <w:b/>
          <w:color w:val="000000"/>
          <w:sz w:val="32"/>
          <w:lang w:val="en-US" w:eastAsia="zh-CN"/>
        </w:rPr>
        <w:t>具</w:t>
      </w:r>
      <w:r>
        <w:rPr>
          <w:rFonts w:ascii="Times New Roman" w:hAnsi="Times New Roman" w:eastAsia="黑体"/>
          <w:b/>
          <w:color w:val="000000"/>
          <w:sz w:val="32"/>
        </w:rPr>
        <w:t>住院证</w:t>
      </w:r>
      <w:bookmarkEnd w:id="0"/>
    </w:p>
    <w:p w14:paraId="6DA84669">
      <w:pPr>
        <w:pStyle w:val="4"/>
        <w:keepNext/>
        <w:spacing w:before="220" w:after="100" w:line="360" w:lineRule="auto"/>
      </w:pPr>
      <w:bookmarkStart w:id="1" w:name="_LarkToc00002"/>
      <w:r>
        <w:rPr>
          <w:rFonts w:ascii="Times New Roman" w:hAnsi="Times New Roman" w:eastAsia="黑体"/>
          <w:b/>
          <w:color w:val="000000"/>
          <w:sz w:val="28"/>
        </w:rPr>
        <w:t>1. 门诊识别梗阻征象</w:t>
      </w:r>
      <w:bookmarkEnd w:id="1"/>
    </w:p>
    <w:p w14:paraId="4FF904BF">
      <w:pPr>
        <w:pStyle w:val="16"/>
        <w:spacing w:before="0" w:after="0" w:line="360" w:lineRule="auto"/>
      </w:pPr>
      <w:r>
        <w:rPr>
          <w:rFonts w:ascii="Times New Roman" w:hAnsi="Times New Roman" w:eastAsia="宋体"/>
          <w:b w:val="0"/>
          <w:color w:val="000000"/>
          <w:sz w:val="24"/>
        </w:rPr>
        <w:t>门诊肠镜或腹部CT发现结肠占位伴肠腔狭窄、近端肠管扩张、气液平面，患者主诉腹胀、排便习惯改变、阵发性腹痛但仍有排气排便。考虑</w:t>
      </w:r>
      <w:r>
        <w:rPr>
          <w:rFonts w:ascii="Times New Roman" w:hAnsi="Times New Roman" w:eastAsia="宋体"/>
          <w:b/>
          <w:color w:val="000000"/>
          <w:sz w:val="24"/>
        </w:rPr>
        <w:t>结肠癌合并不完全性肠梗阻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 w14:paraId="7A0B0203">
      <w:pPr>
        <w:pStyle w:val="4"/>
        <w:keepNext/>
        <w:spacing w:before="220" w:after="100" w:line="360" w:lineRule="auto"/>
      </w:pPr>
      <w:bookmarkStart w:id="2" w:name="_LarkToc00003"/>
      <w:r>
        <w:rPr>
          <w:rFonts w:ascii="Times New Roman" w:hAnsi="Times New Roman" w:eastAsia="黑体"/>
          <w:b/>
          <w:color w:val="000000"/>
          <w:sz w:val="28"/>
        </w:rPr>
        <w:t>2. 门诊医生判断有住院指征</w:t>
      </w:r>
      <w:bookmarkEnd w:id="2"/>
    </w:p>
    <w:p w14:paraId="5DDD2379">
      <w:pPr>
        <w:pStyle w:val="16"/>
        <w:spacing w:before="0" w:after="0" w:line="360" w:lineRule="auto"/>
      </w:pPr>
      <w:r>
        <w:rPr>
          <w:rFonts w:ascii="Times New Roman" w:hAnsi="Times New Roman" w:eastAsia="宋体"/>
          <w:b w:val="0"/>
          <w:color w:val="000000"/>
          <w:sz w:val="24"/>
        </w:rPr>
        <w:t>入院诊断：</w:t>
      </w:r>
      <w:r>
        <w:rPr>
          <w:rFonts w:ascii="Times New Roman" w:hAnsi="Times New Roman" w:eastAsia="宋体"/>
          <w:b/>
          <w:color w:val="000000"/>
          <w:sz w:val="24"/>
        </w:rPr>
        <w:t>结肠占位性病变：结肠癌待排；不完全性肠梗阻</w:t>
      </w:r>
      <w:r>
        <w:rPr>
          <w:rFonts w:ascii="Times New Roman" w:hAnsi="Times New Roman" w:eastAsia="宋体"/>
          <w:b w:val="0"/>
          <w:color w:val="000000"/>
          <w:sz w:val="24"/>
        </w:rPr>
        <w:t>。因患者存在梗阻，需住院进行禁食、减压、补液等处理，同时完善诊断与分期，门诊</w:t>
      </w:r>
      <w:bookmarkStart w:id="22" w:name="_GoBack"/>
      <w:bookmarkEnd w:id="22"/>
      <w:r>
        <w:rPr>
          <w:rFonts w:ascii="Times New Roman" w:hAnsi="Times New Roman" w:eastAsia="宋体"/>
          <w:b w:val="0"/>
          <w:color w:val="000000"/>
          <w:sz w:val="24"/>
        </w:rPr>
        <w:t>开具住院证。</w:t>
      </w:r>
    </w:p>
    <w:p w14:paraId="2859D974">
      <w:pPr>
        <w:pStyle w:val="4"/>
        <w:keepNext/>
        <w:spacing w:before="220" w:after="100" w:line="360" w:lineRule="auto"/>
      </w:pPr>
      <w:bookmarkStart w:id="3" w:name="_LarkToc00004"/>
      <w:r>
        <w:rPr>
          <w:rFonts w:ascii="Times New Roman" w:hAnsi="Times New Roman" w:eastAsia="黑体"/>
          <w:b/>
          <w:color w:val="000000"/>
          <w:sz w:val="28"/>
        </w:rPr>
        <w:t>3. 与患者沟通</w:t>
      </w:r>
      <w:bookmarkEnd w:id="3"/>
    </w:p>
    <w:p w14:paraId="2A06C5F9">
      <w:pPr>
        <w:pStyle w:val="16"/>
        <w:spacing w:before="0" w:after="0" w:line="360" w:lineRule="auto"/>
      </w:pPr>
      <w:r>
        <w:rPr>
          <w:rFonts w:ascii="Times New Roman" w:hAnsi="Times New Roman" w:eastAsia="宋体"/>
          <w:b w:val="0"/>
          <w:color w:val="000000"/>
          <w:sz w:val="24"/>
        </w:rPr>
        <w:t>告知患者住院后首先处理梗阻，待肠道条件改善后追踪病理、完善分期，再决定围手术期治疗方案。门诊已做检查资料带入病房。</w:t>
      </w:r>
    </w:p>
    <w:p w14:paraId="7A4F558E">
      <w:pPr>
        <w:pStyle w:val="4"/>
        <w:keepNext/>
        <w:spacing w:before="220" w:after="100" w:line="360" w:lineRule="auto"/>
      </w:pPr>
      <w:bookmarkStart w:id="4" w:name="_LarkToc00005"/>
      <w:r>
        <w:rPr>
          <w:rFonts w:ascii="Times New Roman" w:hAnsi="Times New Roman" w:eastAsia="黑体"/>
          <w:b/>
          <w:color w:val="000000"/>
          <w:sz w:val="28"/>
        </w:rPr>
        <w:t>4. 办理入院</w:t>
      </w:r>
      <w:bookmarkEnd w:id="4"/>
    </w:p>
    <w:p w14:paraId="21464DC5">
      <w:pPr>
        <w:pStyle w:val="16"/>
        <w:spacing w:before="0" w:after="0" w:line="360" w:lineRule="auto"/>
        <w:rPr>
          <w:rFonts w:ascii="Times New Roman" w:hAnsi="Times New Roman" w:eastAsia="宋体"/>
          <w:b w:val="0"/>
          <w:color w:val="000000"/>
          <w:sz w:val="24"/>
        </w:rPr>
      </w:pPr>
      <w:r>
        <w:rPr>
          <w:rFonts w:ascii="Times New Roman" w:hAnsi="Times New Roman" w:eastAsia="宋体"/>
          <w:b w:val="0"/>
          <w:color w:val="000000"/>
          <w:sz w:val="24"/>
        </w:rPr>
        <w:t>收治科室通常为</w:t>
      </w:r>
      <w:r>
        <w:rPr>
          <w:rFonts w:ascii="Times New Roman" w:hAnsi="Times New Roman" w:eastAsia="宋体"/>
          <w:b/>
          <w:color w:val="000000"/>
          <w:sz w:val="24"/>
        </w:rPr>
        <w:t>结直肠</w:t>
      </w:r>
      <w:r>
        <w:rPr>
          <w:rFonts w:hint="eastAsia" w:ascii="Times New Roman" w:hAnsi="Times New Roman" w:eastAsia="宋体"/>
          <w:b/>
          <w:color w:val="000000"/>
          <w:sz w:val="24"/>
          <w:lang w:val="en-US" w:eastAsia="zh-CN"/>
        </w:rPr>
        <w:t>肛门</w:t>
      </w:r>
      <w:r>
        <w:rPr>
          <w:rFonts w:ascii="Times New Roman" w:hAnsi="Times New Roman" w:eastAsia="宋体"/>
          <w:b/>
          <w:color w:val="000000"/>
          <w:sz w:val="24"/>
        </w:rPr>
        <w:t>外科、胃肠外科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  <w:bookmarkStart w:id="5" w:name="_LarkToc00006"/>
    </w:p>
    <w:p w14:paraId="77000BD8">
      <w:pPr>
        <w:pStyle w:val="16"/>
        <w:spacing w:before="0" w:after="0" w:line="360" w:lineRule="auto"/>
        <w:rPr>
          <w:rFonts w:ascii="Times New Roman" w:hAnsi="Times New Roman" w:eastAsia="宋体"/>
          <w:b w:val="0"/>
          <w:color w:val="000000"/>
          <w:sz w:val="24"/>
        </w:rPr>
      </w:pPr>
      <w:r>
        <w:rPr>
          <w:rFonts w:ascii="Times New Roman" w:hAnsi="Times New Roman" w:eastAsia="宋体"/>
          <w:b w:val="0"/>
          <w:color w:val="000000"/>
          <w:sz w:val="24"/>
        </w:rPr>
        <w:t>持住院证到入院</w:t>
      </w:r>
      <w:r>
        <w:rPr>
          <w:rFonts w:hint="eastAsia" w:ascii="Times New Roman" w:hAnsi="Times New Roman" w:eastAsia="宋体"/>
          <w:b w:val="0"/>
          <w:color w:val="000000"/>
          <w:sz w:val="24"/>
          <w:lang w:val="en-US" w:eastAsia="zh-CN"/>
        </w:rPr>
        <w:t>处（住院部一楼）</w:t>
      </w:r>
      <w:r>
        <w:rPr>
          <w:rFonts w:ascii="Times New Roman" w:hAnsi="Times New Roman" w:eastAsia="宋体"/>
          <w:b w:val="0"/>
          <w:color w:val="000000"/>
          <w:sz w:val="24"/>
        </w:rPr>
        <w:t>或病区办理手续，完成医保登记</w:t>
      </w:r>
    </w:p>
    <w:p w14:paraId="24570E65">
      <w:pPr>
        <w:pStyle w:val="3"/>
        <w:keepNext/>
        <w:spacing w:before="280" w:after="120" w:line="360" w:lineRule="auto"/>
      </w:pPr>
      <w:r>
        <w:rPr>
          <w:rFonts w:ascii="Times New Roman" w:hAnsi="Times New Roman" w:eastAsia="黑体"/>
          <w:b/>
          <w:color w:val="000000"/>
          <w:sz w:val="32"/>
        </w:rPr>
        <w:t>二、住院后第1—3天：梗阻评估与初始处理＋病理追踪＋分子检测启动</w:t>
      </w:r>
      <w:bookmarkEnd w:id="5"/>
    </w:p>
    <w:p w14:paraId="1A865E66">
      <w:pPr>
        <w:pStyle w:val="4"/>
        <w:keepNext/>
        <w:spacing w:before="220" w:after="100" w:line="360" w:lineRule="auto"/>
      </w:pPr>
      <w:bookmarkStart w:id="6" w:name="_LarkToc00007"/>
      <w:r>
        <w:rPr>
          <w:rFonts w:ascii="Times New Roman" w:hAnsi="Times New Roman" w:eastAsia="黑体"/>
          <w:b/>
          <w:color w:val="000000"/>
          <w:sz w:val="28"/>
        </w:rPr>
        <w:t>1. 梗阻严重程度评估</w:t>
      </w:r>
      <w:bookmarkEnd w:id="6"/>
    </w:p>
    <w:p w14:paraId="3B5CA9C3">
      <w:pPr>
        <w:pStyle w:val="16"/>
        <w:spacing w:before="0" w:after="0" w:line="360" w:lineRule="auto"/>
      </w:pPr>
      <w:r>
        <w:rPr>
          <w:rFonts w:ascii="Times New Roman" w:hAnsi="Times New Roman" w:eastAsia="宋体"/>
          <w:b/>
          <w:color w:val="000000"/>
          <w:sz w:val="24"/>
        </w:rPr>
        <w:t>生命体征与腹部查体</w:t>
      </w:r>
      <w:r>
        <w:rPr>
          <w:rFonts w:ascii="Times New Roman" w:hAnsi="Times New Roman" w:eastAsia="宋体"/>
          <w:b w:val="0"/>
          <w:color w:val="000000"/>
          <w:sz w:val="24"/>
        </w:rPr>
        <w:t>：评估有无腹膜炎体征、肠鸣音变化、脱水程度。</w:t>
      </w:r>
    </w:p>
    <w:p w14:paraId="40913B0A">
      <w:pPr>
        <w:pStyle w:val="16"/>
        <w:spacing w:before="0" w:after="0" w:line="360" w:lineRule="auto"/>
      </w:pPr>
      <w:r>
        <w:rPr>
          <w:rFonts w:ascii="Times New Roman" w:hAnsi="Times New Roman" w:eastAsia="宋体"/>
          <w:b/>
          <w:color w:val="000000"/>
          <w:sz w:val="24"/>
        </w:rPr>
        <w:t>实验室</w:t>
      </w:r>
      <w:r>
        <w:rPr>
          <w:rFonts w:ascii="Times New Roman" w:hAnsi="Times New Roman" w:eastAsia="宋体"/>
          <w:b w:val="0"/>
          <w:color w:val="000000"/>
          <w:sz w:val="24"/>
        </w:rPr>
        <w:t>：血常规、电解质、肝肾功能、血气分析、乳酸，评估有无感染、电解质紊乱及组织灌注不足。</w:t>
      </w:r>
    </w:p>
    <w:p w14:paraId="5EC33738">
      <w:pPr>
        <w:pStyle w:val="16"/>
        <w:spacing w:before="0" w:after="0" w:line="360" w:lineRule="auto"/>
      </w:pPr>
      <w:r>
        <w:rPr>
          <w:rFonts w:ascii="Times New Roman" w:hAnsi="Times New Roman" w:eastAsia="宋体"/>
          <w:b/>
          <w:color w:val="000000"/>
          <w:sz w:val="24"/>
        </w:rPr>
        <w:t>影像</w:t>
      </w:r>
      <w:r>
        <w:rPr>
          <w:rFonts w:ascii="Times New Roman" w:hAnsi="Times New Roman" w:eastAsia="宋体"/>
          <w:b w:val="0"/>
          <w:color w:val="000000"/>
          <w:sz w:val="24"/>
        </w:rPr>
        <w:t>：入院前或入院后尽快完成</w:t>
      </w:r>
      <w:r>
        <w:rPr>
          <w:rFonts w:ascii="Times New Roman" w:hAnsi="Times New Roman" w:eastAsia="宋体"/>
          <w:b/>
          <w:color w:val="000000"/>
          <w:sz w:val="24"/>
        </w:rPr>
        <w:t>腹部+盆腔增强CT</w:t>
      </w:r>
      <w:r>
        <w:rPr>
          <w:rFonts w:ascii="Times New Roman" w:hAnsi="Times New Roman" w:eastAsia="宋体"/>
          <w:b w:val="0"/>
          <w:color w:val="000000"/>
          <w:sz w:val="24"/>
        </w:rPr>
        <w:t>，明确梗阻部位、程度、有无闭襻、肠壁缺血或穿孔征象。胸部CT同期完成分期评估。</w:t>
      </w:r>
    </w:p>
    <w:p w14:paraId="10FFFA1A">
      <w:pPr>
        <w:pStyle w:val="16"/>
        <w:spacing w:before="0" w:after="0" w:line="360" w:lineRule="auto"/>
      </w:pPr>
      <w:r>
        <w:rPr>
          <w:rFonts w:ascii="Times New Roman" w:hAnsi="Times New Roman" w:eastAsia="宋体"/>
          <w:b w:val="0"/>
          <w:color w:val="000000"/>
          <w:sz w:val="24"/>
        </w:rPr>
        <w:t>若CT不能确定诊断或需鉴别，可考虑腹部/盆腔MRI、PET/CT等补充手段。</w:t>
      </w:r>
    </w:p>
    <w:p w14:paraId="2D446C23">
      <w:pPr>
        <w:pStyle w:val="4"/>
        <w:keepNext/>
        <w:spacing w:before="220" w:after="100" w:line="360" w:lineRule="auto"/>
      </w:pPr>
      <w:bookmarkStart w:id="7" w:name="_LarkToc00008"/>
      <w:r>
        <w:rPr>
          <w:rFonts w:ascii="Times New Roman" w:hAnsi="Times New Roman" w:eastAsia="黑体"/>
          <w:b/>
          <w:color w:val="000000"/>
          <w:sz w:val="28"/>
        </w:rPr>
        <w:t>2. 非手术治疗（首要任务）</w:t>
      </w:r>
      <w:bookmarkEnd w:id="7"/>
    </w:p>
    <w:p w14:paraId="513BECD5">
      <w:pPr>
        <w:pStyle w:val="16"/>
        <w:spacing w:before="0" w:after="0" w:line="360" w:lineRule="auto"/>
      </w:pPr>
      <w:r>
        <w:rPr>
          <w:rFonts w:ascii="Times New Roman" w:hAnsi="Times New Roman" w:eastAsia="宋体"/>
          <w:b w:val="0"/>
          <w:color w:val="000000"/>
          <w:sz w:val="24"/>
        </w:rPr>
        <w:t>结直肠癌合并不完全性梗阻的患者，大部分可采用相对保守治疗，等待充分肠道准备后限期手术。非手术治疗的目标是</w:t>
      </w:r>
      <w:r>
        <w:rPr>
          <w:rFonts w:ascii="Times New Roman" w:hAnsi="Times New Roman" w:eastAsia="宋体"/>
          <w:b/>
          <w:color w:val="000000"/>
          <w:sz w:val="24"/>
        </w:rPr>
        <w:t>缓解梗阻症状、减轻肠道水肿，为后续诊断和治疗创造条件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 w14:paraId="7315DBC6">
      <w:pPr>
        <w:spacing w:before="0" w:after="0" w:line="360" w:lineRule="auto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核心措施：</w:t>
      </w:r>
    </w:p>
    <w:p w14:paraId="4CF87341">
      <w:pPr>
        <w:pStyle w:val="16"/>
        <w:spacing w:before="0" w:after="0" w:line="360" w:lineRule="auto"/>
      </w:pPr>
      <w:r>
        <w:rPr>
          <w:rFonts w:ascii="Times New Roman" w:hAnsi="Times New Roman" w:eastAsia="宋体"/>
          <w:b/>
          <w:color w:val="000000"/>
          <w:sz w:val="24"/>
        </w:rPr>
        <w:t>禁食与胃肠减压</w:t>
      </w:r>
      <w:r>
        <w:rPr>
          <w:rFonts w:ascii="Times New Roman" w:hAnsi="Times New Roman" w:eastAsia="宋体"/>
          <w:b w:val="0"/>
          <w:color w:val="000000"/>
          <w:sz w:val="24"/>
        </w:rPr>
        <w:t>：减轻肠道负担，缓解腹胀和腹痛。</w:t>
      </w:r>
    </w:p>
    <w:p w14:paraId="66589DE2">
      <w:pPr>
        <w:pStyle w:val="16"/>
        <w:spacing w:before="0" w:after="0" w:line="360" w:lineRule="auto"/>
      </w:pPr>
      <w:r>
        <w:rPr>
          <w:rFonts w:ascii="Times New Roman" w:hAnsi="Times New Roman" w:eastAsia="宋体"/>
          <w:b/>
          <w:color w:val="000000"/>
          <w:sz w:val="24"/>
        </w:rPr>
        <w:t>生长抑素</w:t>
      </w:r>
      <w:r>
        <w:rPr>
          <w:rFonts w:ascii="Times New Roman" w:hAnsi="Times New Roman" w:eastAsia="宋体"/>
          <w:b w:val="0"/>
          <w:color w:val="000000"/>
          <w:sz w:val="24"/>
        </w:rPr>
        <w:t>：抑制肠道分泌和蠕动，降低肠道压力，缓解梗阻症状，同时抑制胃酸分泌。</w:t>
      </w:r>
    </w:p>
    <w:p w14:paraId="0AE5EBC0">
      <w:pPr>
        <w:pStyle w:val="16"/>
        <w:spacing w:before="0" w:after="0" w:line="360" w:lineRule="auto"/>
      </w:pPr>
      <w:r>
        <w:rPr>
          <w:rFonts w:ascii="Times New Roman" w:hAnsi="Times New Roman" w:eastAsia="宋体"/>
          <w:b/>
          <w:color w:val="000000"/>
          <w:sz w:val="24"/>
        </w:rPr>
        <w:t>抗感染</w:t>
      </w:r>
      <w:r>
        <w:rPr>
          <w:rFonts w:ascii="Times New Roman" w:hAnsi="Times New Roman" w:eastAsia="宋体"/>
          <w:b w:val="0"/>
          <w:color w:val="000000"/>
          <w:sz w:val="24"/>
        </w:rPr>
        <w:t>：广谱有效抗菌素，预防肠道菌群易位和全身感染。</w:t>
      </w:r>
    </w:p>
    <w:p w14:paraId="013B1B57">
      <w:pPr>
        <w:pStyle w:val="16"/>
        <w:spacing w:before="0" w:after="0" w:line="360" w:lineRule="auto"/>
      </w:pPr>
      <w:r>
        <w:rPr>
          <w:rFonts w:ascii="Times New Roman" w:hAnsi="Times New Roman" w:eastAsia="宋体"/>
          <w:b/>
          <w:color w:val="000000"/>
          <w:sz w:val="24"/>
        </w:rPr>
        <w:t>营养支持</w:t>
      </w:r>
      <w:r>
        <w:rPr>
          <w:rFonts w:ascii="Times New Roman" w:hAnsi="Times New Roman" w:eastAsia="宋体"/>
          <w:b w:val="0"/>
          <w:color w:val="000000"/>
          <w:sz w:val="24"/>
        </w:rPr>
        <w:t>：全肠外营养，纠正电解质紊乱和低蛋白血症。</w:t>
      </w:r>
    </w:p>
    <w:p w14:paraId="055B82E7">
      <w:pPr>
        <w:pStyle w:val="16"/>
        <w:spacing w:before="0" w:after="0" w:line="360" w:lineRule="auto"/>
      </w:pPr>
      <w:r>
        <w:rPr>
          <w:rFonts w:ascii="Times New Roman" w:hAnsi="Times New Roman" w:eastAsia="宋体"/>
          <w:b/>
          <w:color w:val="000000"/>
          <w:sz w:val="24"/>
        </w:rPr>
        <w:t>润肠通便药物</w:t>
      </w:r>
      <w:r>
        <w:rPr>
          <w:rFonts w:ascii="Times New Roman" w:hAnsi="Times New Roman" w:eastAsia="宋体"/>
          <w:b w:val="0"/>
          <w:color w:val="000000"/>
          <w:sz w:val="24"/>
        </w:rPr>
        <w:t>：在尚未完全梗阻的患者中可谨慎使用，但需警惕加重梗阻的风险。</w:t>
      </w:r>
    </w:p>
    <w:p w14:paraId="3E0DD256">
      <w:pPr>
        <w:pStyle w:val="16"/>
        <w:spacing w:before="0" w:after="0" w:line="360" w:lineRule="auto"/>
      </w:pPr>
      <w:r>
        <w:rPr>
          <w:rFonts w:ascii="Times New Roman" w:hAnsi="Times New Roman" w:eastAsia="宋体"/>
          <w:b/>
          <w:color w:val="000000"/>
          <w:sz w:val="24"/>
        </w:rPr>
        <w:t>必须强调</w:t>
      </w:r>
      <w:r>
        <w:rPr>
          <w:rFonts w:ascii="Times New Roman" w:hAnsi="Times New Roman" w:eastAsia="宋体"/>
          <w:b w:val="0"/>
          <w:color w:val="000000"/>
          <w:sz w:val="24"/>
        </w:rPr>
        <w:t>：保守治疗期间须严密观察生命体征和腹部体征，随时可能需要急诊手术干预。</w:t>
      </w:r>
    </w:p>
    <w:p w14:paraId="3FAC7B84">
      <w:pPr>
        <w:pStyle w:val="16"/>
        <w:spacing w:before="0" w:after="0" w:line="360" w:lineRule="auto"/>
      </w:pPr>
      <w:r>
        <w:rPr>
          <w:rFonts w:ascii="Times New Roman" w:hAnsi="Times New Roman" w:eastAsia="宋体"/>
          <w:b/>
          <w:color w:val="000000"/>
          <w:sz w:val="24"/>
        </w:rPr>
        <w:t>梗阻者不建议腹腔镜手术</w:t>
      </w:r>
      <w:r>
        <w:rPr>
          <w:rFonts w:ascii="Times New Roman" w:hAnsi="Times New Roman" w:eastAsia="宋体"/>
          <w:b w:val="0"/>
          <w:color w:val="000000"/>
          <w:sz w:val="24"/>
        </w:rPr>
        <w:t>；若需急诊手术，按急诊手术路径处理。</w:t>
      </w:r>
    </w:p>
    <w:p w14:paraId="6FBE4C60">
      <w:pPr>
        <w:pStyle w:val="16"/>
        <w:spacing w:before="0" w:after="0" w:line="360" w:lineRule="auto"/>
      </w:pPr>
      <w:r>
        <w:rPr>
          <w:rFonts w:ascii="Times New Roman" w:hAnsi="Times New Roman" w:eastAsia="宋体"/>
          <w:b w:val="0"/>
          <w:color w:val="000000"/>
          <w:sz w:val="24"/>
        </w:rPr>
        <w:t>肠道支架通常适用于远端结肠病灶，放置后能使近端结肠减压，从而在择期结肠切除时能Ⅰ期吻合；对于左半结肠合并不完全性梗阻且保守治疗效果不完全满意者，可考虑支架桥接。</w:t>
      </w:r>
    </w:p>
    <w:p w14:paraId="3A232128">
      <w:pPr>
        <w:pStyle w:val="4"/>
        <w:keepNext/>
        <w:spacing w:before="220" w:after="100" w:line="360" w:lineRule="auto"/>
      </w:pPr>
      <w:bookmarkStart w:id="8" w:name="_LarkToc00009"/>
      <w:r>
        <w:rPr>
          <w:rFonts w:ascii="Times New Roman" w:hAnsi="Times New Roman" w:eastAsia="黑体"/>
          <w:b/>
          <w:color w:val="000000"/>
          <w:sz w:val="28"/>
        </w:rPr>
        <w:t>3. 追踪病理与启动分子检测</w:t>
      </w:r>
      <w:bookmarkEnd w:id="8"/>
    </w:p>
    <w:p w14:paraId="3DCA4705">
      <w:pPr>
        <w:pStyle w:val="16"/>
        <w:spacing w:before="0" w:after="0" w:line="360" w:lineRule="auto"/>
      </w:pPr>
      <w:r>
        <w:rPr>
          <w:rFonts w:ascii="Times New Roman" w:hAnsi="Times New Roman" w:eastAsia="宋体"/>
          <w:b w:val="0"/>
          <w:color w:val="000000"/>
          <w:sz w:val="24"/>
        </w:rPr>
        <w:t>在梗阻处理的同时，尽快追踪门诊肠镜活检病理。</w:t>
      </w:r>
    </w:p>
    <w:p w14:paraId="684E0B70">
      <w:pPr>
        <w:pStyle w:val="16"/>
        <w:spacing w:before="0" w:after="0" w:line="360" w:lineRule="auto"/>
      </w:pPr>
      <w:r>
        <w:rPr>
          <w:rFonts w:ascii="Times New Roman" w:hAnsi="Times New Roman" w:eastAsia="宋体"/>
          <w:b/>
          <w:color w:val="000000"/>
          <w:sz w:val="24"/>
        </w:rPr>
        <w:t>确诊后应立即启动MMR/MSI检测</w:t>
      </w:r>
      <w:r>
        <w:rPr>
          <w:rFonts w:ascii="Times New Roman" w:hAnsi="Times New Roman" w:eastAsia="宋体"/>
          <w:b w:val="0"/>
          <w:color w:val="000000"/>
          <w:sz w:val="24"/>
        </w:rPr>
        <w:t>，因为该结果直接决定后续治疗路径。RAS、BRAF基因检测同期送检。</w:t>
      </w:r>
    </w:p>
    <w:p w14:paraId="2F63B4AE">
      <w:pPr>
        <w:pStyle w:val="16"/>
        <w:spacing w:before="0" w:after="0" w:line="360" w:lineRule="auto"/>
      </w:pPr>
      <w:r>
        <w:rPr>
          <w:rFonts w:ascii="Times New Roman" w:hAnsi="Times New Roman" w:eastAsia="宋体"/>
          <w:b w:val="0"/>
          <w:color w:val="000000"/>
          <w:sz w:val="24"/>
        </w:rPr>
        <w:t>对于拟行后线抗HER-2治疗或标准治疗失败者，可有条件检测HER-2状态、NTRK/RET融合、POLE/POLD1基因突变。</w:t>
      </w:r>
    </w:p>
    <w:p w14:paraId="1B6A9BF9">
      <w:pPr>
        <w:pStyle w:val="16"/>
        <w:spacing w:before="0" w:after="0" w:line="360" w:lineRule="auto"/>
      </w:pPr>
      <w:r>
        <w:rPr>
          <w:rFonts w:ascii="Times New Roman" w:hAnsi="Times New Roman" w:eastAsia="宋体"/>
          <w:b/>
          <w:color w:val="000000"/>
          <w:sz w:val="24"/>
        </w:rPr>
        <w:t>所有确诊的转移性结直肠癌必须进行MMR/MSI检测及RAS、BRAF基因状态检测，证据级别ⅠA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 w14:paraId="7E6C67CA">
      <w:pPr>
        <w:pStyle w:val="16"/>
        <w:spacing w:before="0" w:after="0" w:line="360" w:lineRule="auto"/>
      </w:pPr>
      <w:r>
        <w:rPr>
          <w:rFonts w:ascii="Times New Roman" w:hAnsi="Times New Roman" w:eastAsia="宋体"/>
          <w:b/>
          <w:color w:val="000000"/>
          <w:sz w:val="24"/>
        </w:rPr>
        <w:t>对于局部进展期拟行新辅助治疗及所有拟行免疫治疗的患者，强制要求检测dMMR/MSI状态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 w14:paraId="6EBCF517">
      <w:pPr>
        <w:pStyle w:val="4"/>
        <w:keepNext/>
        <w:spacing w:before="220" w:after="100" w:line="360" w:lineRule="auto"/>
      </w:pPr>
      <w:bookmarkStart w:id="9" w:name="_LarkToc00010"/>
      <w:r>
        <w:rPr>
          <w:rFonts w:ascii="Times New Roman" w:hAnsi="Times New Roman" w:eastAsia="黑体"/>
          <w:b/>
          <w:color w:val="000000"/>
          <w:sz w:val="28"/>
        </w:rPr>
        <w:t>4. 梗阻缓解后的进一步评估</w:t>
      </w:r>
      <w:bookmarkEnd w:id="9"/>
    </w:p>
    <w:p w14:paraId="09F3EC36">
      <w:pPr>
        <w:pStyle w:val="16"/>
        <w:spacing w:before="0" w:after="0" w:line="360" w:lineRule="auto"/>
      </w:pPr>
      <w:r>
        <w:rPr>
          <w:rFonts w:ascii="Times New Roman" w:hAnsi="Times New Roman" w:eastAsia="宋体"/>
          <w:b w:val="0"/>
          <w:color w:val="000000"/>
          <w:sz w:val="24"/>
        </w:rPr>
        <w:t>若保守治疗3—5天后梗阻症状明显缓解（排气排便恢复、腹胀减轻、CT示近端肠管扩张改善），患者进入</w:t>
      </w:r>
      <w:r>
        <w:rPr>
          <w:rFonts w:ascii="Times New Roman" w:hAnsi="Times New Roman" w:eastAsia="宋体"/>
          <w:b/>
          <w:color w:val="000000"/>
          <w:sz w:val="24"/>
        </w:rPr>
        <w:t>“无须急诊处理”状态</w:t>
      </w:r>
      <w:r>
        <w:rPr>
          <w:rFonts w:ascii="Times New Roman" w:hAnsi="Times New Roman" w:eastAsia="宋体"/>
          <w:b w:val="0"/>
          <w:color w:val="000000"/>
          <w:sz w:val="24"/>
        </w:rPr>
        <w:t>，可按照CSCO 2026版指南的常规围手术期路径进行决策。</w:t>
      </w:r>
    </w:p>
    <w:p w14:paraId="64D8D1B4">
      <w:pPr>
        <w:pStyle w:val="16"/>
        <w:spacing w:before="0" w:after="0" w:line="360" w:lineRule="auto"/>
      </w:pPr>
      <w:r>
        <w:rPr>
          <w:rFonts w:ascii="Times New Roman" w:hAnsi="Times New Roman" w:eastAsia="宋体"/>
          <w:b w:val="0"/>
          <w:color w:val="000000"/>
          <w:sz w:val="24"/>
        </w:rPr>
        <w:t>若保守治疗无效，梗阻加重或出现腹膜炎、肠缺血征象，则转入急诊手术路径（见后文“急诊手术路径”）。</w:t>
      </w:r>
    </w:p>
    <w:p w14:paraId="3517FEEA">
      <w:pPr>
        <w:pStyle w:val="3"/>
        <w:keepNext/>
        <w:spacing w:before="280" w:after="120" w:line="360" w:lineRule="auto"/>
      </w:pPr>
      <w:bookmarkStart w:id="10" w:name="_LarkToc00011"/>
      <w:r>
        <w:rPr>
          <w:rFonts w:ascii="Times New Roman" w:hAnsi="Times New Roman" w:eastAsia="黑体"/>
          <w:b/>
          <w:color w:val="000000"/>
          <w:sz w:val="32"/>
        </w:rPr>
        <w:t>三、梗阻缓解后（转入“无须急诊处理”状态）：按 CSCO 2026 版指南分层决策</w:t>
      </w:r>
      <w:bookmarkEnd w:id="10"/>
    </w:p>
    <w:p w14:paraId="44CCC974">
      <w:pPr>
        <w:pStyle w:val="16"/>
        <w:spacing w:before="0" w:after="0" w:line="360" w:lineRule="auto"/>
      </w:pPr>
      <w:r>
        <w:rPr>
          <w:rFonts w:ascii="Times New Roman" w:hAnsi="Times New Roman" w:eastAsia="宋体"/>
          <w:b w:val="0"/>
          <w:color w:val="000000"/>
          <w:sz w:val="24"/>
        </w:rPr>
        <w:t>患者梗阻缓解后，按照2026版指南的</w:t>
      </w:r>
      <w:r>
        <w:rPr>
          <w:rFonts w:ascii="Times New Roman" w:hAnsi="Times New Roman" w:eastAsia="宋体"/>
          <w:b/>
          <w:color w:val="000000"/>
          <w:sz w:val="24"/>
        </w:rPr>
        <w:t>“分期—分子—临床”三维体系</w:t>
      </w:r>
      <w:r>
        <w:rPr>
          <w:rFonts w:ascii="Times New Roman" w:hAnsi="Times New Roman" w:eastAsia="宋体"/>
          <w:b w:val="0"/>
          <w:color w:val="000000"/>
          <w:sz w:val="24"/>
        </w:rPr>
        <w:t>制定围手术期方案。</w:t>
      </w:r>
    </w:p>
    <w:p w14:paraId="130F96DA">
      <w:pPr>
        <w:pStyle w:val="16"/>
        <w:spacing w:before="0" w:after="0" w:line="360" w:lineRule="auto"/>
      </w:pPr>
      <w:r>
        <w:rPr>
          <w:rFonts w:ascii="Times New Roman" w:hAnsi="Times New Roman" w:eastAsia="宋体"/>
          <w:b w:val="0"/>
          <w:color w:val="000000"/>
          <w:sz w:val="24"/>
        </w:rPr>
        <w:t>本部分适用于</w:t>
      </w:r>
      <w:r>
        <w:rPr>
          <w:rFonts w:ascii="Times New Roman" w:hAnsi="Times New Roman" w:eastAsia="宋体"/>
          <w:b/>
          <w:color w:val="000000"/>
          <w:sz w:val="24"/>
        </w:rPr>
        <w:t>无须急诊处理的症状</w:t>
      </w:r>
      <w:r>
        <w:rPr>
          <w:rFonts w:ascii="Times New Roman" w:hAnsi="Times New Roman" w:eastAsia="宋体"/>
          <w:b w:val="0"/>
          <w:color w:val="000000"/>
          <w:sz w:val="24"/>
        </w:rPr>
        <w:t>人群；若梗阻未缓解，仍按急诊手术路径处理。</w:t>
      </w:r>
    </w:p>
    <w:p w14:paraId="65EF9580">
      <w:pPr>
        <w:pStyle w:val="4"/>
        <w:keepNext/>
        <w:spacing w:before="220" w:after="100" w:line="360" w:lineRule="auto"/>
      </w:pPr>
      <w:bookmarkStart w:id="11" w:name="_LarkToc00012"/>
      <w:r>
        <w:rPr>
          <w:rFonts w:ascii="Times New Roman" w:hAnsi="Times New Roman" w:eastAsia="黑体"/>
          <w:b/>
          <w:color w:val="000000"/>
          <w:sz w:val="28"/>
        </w:rPr>
        <w:t>（一）MSI-H/dMMR患者</w:t>
      </w:r>
      <w:bookmarkEnd w:id="11"/>
    </w:p>
    <w:p w14:paraId="73B226A1">
      <w:pPr>
        <w:spacing w:before="0" w:after="0" w:line="360" w:lineRule="auto"/>
        <w:ind w:firstLine="482" w:firstLineChars="20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这是2026版指南最重要的修订内容，同样适用于合并不完全性梗阻但梗阻已缓解的患者。</w:t>
      </w:r>
    </w:p>
    <w:p w14:paraId="6E58BB36">
      <w:pPr>
        <w:pStyle w:val="16"/>
        <w:spacing w:before="0" w:after="0" w:line="360" w:lineRule="auto"/>
      </w:pPr>
      <w:r>
        <w:rPr>
          <w:rFonts w:ascii="Times New Roman" w:hAnsi="Times New Roman" w:eastAsia="宋体"/>
          <w:b/>
          <w:color w:val="000000"/>
          <w:sz w:val="24"/>
        </w:rPr>
        <w:t>cT1—3N0患者</w:t>
      </w:r>
      <w:r>
        <w:rPr>
          <w:rFonts w:ascii="Times New Roman" w:hAnsi="Times New Roman" w:eastAsia="宋体"/>
          <w:b w:val="0"/>
          <w:color w:val="000000"/>
          <w:sz w:val="24"/>
        </w:rPr>
        <w:t>：Ⅰ级推荐为</w:t>
      </w:r>
      <w:r>
        <w:rPr>
          <w:rFonts w:ascii="Times New Roman" w:hAnsi="Times New Roman" w:eastAsia="宋体"/>
          <w:b/>
          <w:color w:val="000000"/>
          <w:sz w:val="24"/>
        </w:rPr>
        <w:t>结肠切除术+区域淋巴结清扫术</w:t>
      </w:r>
      <w:r>
        <w:rPr>
          <w:rFonts w:ascii="Times New Roman" w:hAnsi="Times New Roman" w:eastAsia="宋体"/>
          <w:b w:val="0"/>
          <w:color w:val="000000"/>
          <w:sz w:val="24"/>
        </w:rPr>
        <w:t>（直接手术）。</w:t>
      </w:r>
    </w:p>
    <w:p w14:paraId="1C04FF11">
      <w:pPr>
        <w:pStyle w:val="16"/>
        <w:spacing w:before="0" w:after="0" w:line="360" w:lineRule="auto"/>
      </w:pPr>
      <w:r>
        <w:rPr>
          <w:rFonts w:ascii="Times New Roman" w:hAnsi="Times New Roman" w:eastAsia="宋体"/>
          <w:b/>
          <w:color w:val="000000"/>
          <w:sz w:val="24"/>
        </w:rPr>
        <w:t>cT4或N+患者</w:t>
      </w:r>
      <w:r>
        <w:rPr>
          <w:rFonts w:ascii="Times New Roman" w:hAnsi="Times New Roman" w:eastAsia="宋体"/>
          <w:b w:val="0"/>
          <w:color w:val="000000"/>
          <w:sz w:val="24"/>
        </w:rPr>
        <w:t>：Ⅰ级推荐为</w:t>
      </w:r>
      <w:r>
        <w:rPr>
          <w:rFonts w:ascii="Times New Roman" w:hAnsi="Times New Roman" w:eastAsia="宋体"/>
          <w:b/>
          <w:color w:val="000000"/>
          <w:sz w:val="24"/>
        </w:rPr>
        <w:t>先行信迪利单抗+伊匹木单抗N01治疗，然后行根治性手术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 w14:paraId="76129638">
      <w:pPr>
        <w:pStyle w:val="16"/>
        <w:spacing w:before="0" w:after="0" w:line="360" w:lineRule="auto"/>
      </w:pPr>
      <w:r>
        <w:rPr>
          <w:rFonts w:ascii="Times New Roman" w:hAnsi="Times New Roman" w:eastAsia="宋体"/>
          <w:b/>
          <w:color w:val="000000"/>
          <w:sz w:val="24"/>
        </w:rPr>
        <w:t>cT4b患者</w:t>
      </w:r>
      <w:r>
        <w:rPr>
          <w:rFonts w:ascii="Times New Roman" w:hAnsi="Times New Roman" w:eastAsia="宋体"/>
          <w:b w:val="0"/>
          <w:color w:val="000000"/>
          <w:sz w:val="24"/>
        </w:rPr>
        <w:t>：Ⅱ级推荐为</w:t>
      </w:r>
      <w:r>
        <w:rPr>
          <w:rFonts w:ascii="Times New Roman" w:hAnsi="Times New Roman" w:eastAsia="宋体"/>
          <w:b/>
          <w:color w:val="000000"/>
          <w:sz w:val="24"/>
        </w:rPr>
        <w:t>先行纳武利尤单抗+伊匹木单抗，或单药PD-1单抗治疗，然后行根治性手术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 w14:paraId="5AEAA726">
      <w:pPr>
        <w:spacing w:before="0" w:after="0" w:line="360" w:lineRule="auto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梗阻场景下的特别考量：</w:t>
      </w:r>
    </w:p>
    <w:p w14:paraId="06BD964F">
      <w:pPr>
        <w:pStyle w:val="16"/>
        <w:spacing w:before="0" w:after="0" w:line="360" w:lineRule="auto"/>
      </w:pPr>
      <w:r>
        <w:rPr>
          <w:rFonts w:ascii="Times New Roman" w:hAnsi="Times New Roman" w:eastAsia="宋体"/>
          <w:b w:val="0"/>
          <w:color w:val="000000"/>
          <w:sz w:val="24"/>
        </w:rPr>
        <w:t>已发表的病例报告和回顾性研究显示，即使有</w:t>
      </w:r>
      <w:r>
        <w:rPr>
          <w:rFonts w:ascii="Times New Roman" w:hAnsi="Times New Roman" w:eastAsia="宋体"/>
          <w:b/>
          <w:color w:val="000000"/>
          <w:sz w:val="24"/>
        </w:rPr>
        <w:t>不完全性肠梗阻病史</w:t>
      </w:r>
      <w:r>
        <w:rPr>
          <w:rFonts w:ascii="Times New Roman" w:hAnsi="Times New Roman" w:eastAsia="宋体"/>
          <w:b w:val="0"/>
          <w:color w:val="000000"/>
          <w:sz w:val="24"/>
        </w:rPr>
        <w:t>的dMMR/MSI-H结肠癌患者，接受新辅助免疫治疗后仍可达到</w:t>
      </w:r>
      <w:r>
        <w:rPr>
          <w:rFonts w:ascii="Times New Roman" w:hAnsi="Times New Roman" w:eastAsia="宋体"/>
          <w:b/>
          <w:color w:val="000000"/>
          <w:sz w:val="24"/>
        </w:rPr>
        <w:t>病理完全缓解（pCR）</w:t>
      </w:r>
      <w:r>
        <w:rPr>
          <w:rFonts w:ascii="Times New Roman" w:hAnsi="Times New Roman" w:eastAsia="宋体"/>
          <w:b w:val="0"/>
          <w:color w:val="000000"/>
          <w:sz w:val="24"/>
        </w:rPr>
        <w:t>。一项纳入21例dMMR/MSI-H局部进展期结肠癌患者的研究中，新辅助免疫治疗后</w:t>
      </w:r>
      <w:r>
        <w:rPr>
          <w:rFonts w:ascii="Times New Roman" w:hAnsi="Times New Roman" w:eastAsia="宋体"/>
          <w:b/>
          <w:color w:val="000000"/>
          <w:sz w:val="24"/>
        </w:rPr>
        <w:t>无4级及以上免疫相关不良事件发生</w:t>
      </w:r>
      <w:r>
        <w:rPr>
          <w:rFonts w:ascii="Times New Roman" w:hAnsi="Times New Roman" w:eastAsia="宋体"/>
          <w:b w:val="0"/>
          <w:color w:val="000000"/>
          <w:sz w:val="24"/>
        </w:rPr>
        <w:t>，R0切除率100%，pCR率76.2%。</w:t>
      </w:r>
    </w:p>
    <w:p w14:paraId="6025D58E">
      <w:pPr>
        <w:pStyle w:val="16"/>
        <w:spacing w:before="0" w:after="0" w:line="360" w:lineRule="auto"/>
      </w:pPr>
      <w:r>
        <w:rPr>
          <w:rFonts w:ascii="Times New Roman" w:hAnsi="Times New Roman" w:eastAsia="宋体"/>
          <w:b w:val="0"/>
          <w:color w:val="000000"/>
          <w:sz w:val="24"/>
        </w:rPr>
        <w:t>但需注意，新辅助免疫治疗期间仍有发生肠梗阻或穿孔的风险，需在治疗期间密切监测腹部症状和影像变化。</w:t>
      </w:r>
    </w:p>
    <w:p w14:paraId="1B0E4379">
      <w:pPr>
        <w:pStyle w:val="4"/>
        <w:keepNext/>
        <w:spacing w:before="220" w:after="100" w:line="360" w:lineRule="auto"/>
      </w:pPr>
      <w:bookmarkStart w:id="12" w:name="_LarkToc00013"/>
      <w:r>
        <w:rPr>
          <w:rFonts w:ascii="Times New Roman" w:hAnsi="Times New Roman" w:eastAsia="黑体"/>
          <w:b/>
          <w:color w:val="000000"/>
          <w:sz w:val="28"/>
        </w:rPr>
        <w:t>（二）MSS/pMMR患者</w:t>
      </w:r>
      <w:bookmarkEnd w:id="12"/>
    </w:p>
    <w:p w14:paraId="5FC76350">
      <w:pPr>
        <w:pStyle w:val="16"/>
        <w:spacing w:before="0" w:after="0" w:line="360" w:lineRule="auto"/>
      </w:pPr>
      <w:r>
        <w:rPr>
          <w:rFonts w:ascii="Times New Roman" w:hAnsi="Times New Roman" w:eastAsia="宋体"/>
          <w:b/>
          <w:color w:val="000000"/>
          <w:sz w:val="24"/>
        </w:rPr>
        <w:t>cT1—3N0</w:t>
      </w:r>
      <w:r>
        <w:rPr>
          <w:rFonts w:ascii="Times New Roman" w:hAnsi="Times New Roman" w:eastAsia="宋体"/>
          <w:b w:val="0"/>
          <w:color w:val="000000"/>
          <w:sz w:val="24"/>
        </w:rPr>
        <w:t>：结肠切除术+区域淋巴结清扫术。</w:t>
      </w:r>
    </w:p>
    <w:p w14:paraId="43751527">
      <w:pPr>
        <w:pStyle w:val="16"/>
        <w:spacing w:before="0" w:after="0" w:line="360" w:lineRule="auto"/>
      </w:pPr>
      <w:r>
        <w:rPr>
          <w:rFonts w:ascii="Times New Roman" w:hAnsi="Times New Roman" w:eastAsia="宋体"/>
          <w:b/>
          <w:color w:val="000000"/>
          <w:sz w:val="24"/>
        </w:rPr>
        <w:t>cT4b期MSS/pMMR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color w:val="000000"/>
          <w:sz w:val="24"/>
        </w:rPr>
        <w:t>Ⅰ级推荐</w:t>
      </w:r>
      <w:r>
        <w:rPr>
          <w:rFonts w:ascii="Times New Roman" w:hAnsi="Times New Roman" w:eastAsia="宋体"/>
          <w:b w:val="0"/>
          <w:color w:val="000000"/>
          <w:sz w:val="24"/>
        </w:rPr>
        <w:t>先行2—3个月新辅助化疗（CAPEOX/FOLFOX，或FOLFOXIRI），然后行根治性手术。该推荐基于多个临床研究的亚组分析（主要是FOxTROT研究），FOLFOXIRI方案的推荐主要基于CSCO指南专家组的共识及小样本研究；鼓励专门针对该群体开展前瞻性临床研究。</w:t>
      </w:r>
    </w:p>
    <w:p w14:paraId="5267AB46">
      <w:pPr>
        <w:pStyle w:val="16"/>
        <w:spacing w:before="0" w:after="0" w:line="360" w:lineRule="auto"/>
      </w:pPr>
      <w:r>
        <w:rPr>
          <w:rFonts w:ascii="Times New Roman" w:hAnsi="Times New Roman" w:eastAsia="宋体"/>
          <w:b/>
          <w:color w:val="000000"/>
          <w:sz w:val="24"/>
        </w:rPr>
        <w:t>需特别注意</w:t>
      </w:r>
      <w:r>
        <w:rPr>
          <w:rFonts w:ascii="Times New Roman" w:hAnsi="Times New Roman" w:eastAsia="宋体"/>
          <w:b w:val="0"/>
          <w:color w:val="000000"/>
          <w:sz w:val="24"/>
        </w:rPr>
        <w:t>：MSS/pMMR患者的新辅助化疗在梗阻场景下应用需谨慎——化疗可能导致肿瘤水肿加重而诱发完全性梗阻，应在梗阻完全缓解、肠道功能恢复后启动，并在治疗期间密切监测。</w:t>
      </w:r>
    </w:p>
    <w:p w14:paraId="5D2416D0">
      <w:pPr>
        <w:pStyle w:val="3"/>
        <w:keepNext/>
        <w:spacing w:before="280" w:after="120" w:line="360" w:lineRule="auto"/>
      </w:pPr>
      <w:bookmarkStart w:id="13" w:name="_LarkToc00014"/>
      <w:r>
        <w:rPr>
          <w:rFonts w:ascii="Times New Roman" w:hAnsi="Times New Roman" w:eastAsia="黑体"/>
          <w:b/>
          <w:color w:val="000000"/>
          <w:sz w:val="32"/>
        </w:rPr>
        <w:t>四、合并不完全性肠梗阻的特殊路径：支架桥接策略</w:t>
      </w:r>
      <w:bookmarkEnd w:id="13"/>
    </w:p>
    <w:p w14:paraId="5C581BE4">
      <w:pPr>
        <w:pStyle w:val="16"/>
        <w:spacing w:before="0" w:after="0" w:line="360" w:lineRule="auto"/>
      </w:pPr>
      <w:r>
        <w:rPr>
          <w:rFonts w:ascii="Times New Roman" w:hAnsi="Times New Roman" w:eastAsia="宋体"/>
          <w:b w:val="0"/>
          <w:color w:val="000000"/>
          <w:sz w:val="24"/>
        </w:rPr>
        <w:t>对于</w:t>
      </w:r>
      <w:r>
        <w:rPr>
          <w:rFonts w:ascii="Times New Roman" w:hAnsi="Times New Roman" w:eastAsia="宋体"/>
          <w:b/>
          <w:color w:val="000000"/>
          <w:sz w:val="24"/>
        </w:rPr>
        <w:t>左半结肠癌合并不完全性梗阻</w:t>
      </w:r>
      <w:r>
        <w:rPr>
          <w:rFonts w:ascii="Times New Roman" w:hAnsi="Times New Roman" w:eastAsia="宋体"/>
          <w:b w:val="0"/>
          <w:color w:val="000000"/>
          <w:sz w:val="24"/>
        </w:rPr>
        <w:t>且保守治疗效果不完全满意的患者，</w:t>
      </w:r>
      <w:r>
        <w:rPr>
          <w:rFonts w:ascii="Times New Roman" w:hAnsi="Times New Roman" w:eastAsia="宋体"/>
          <w:b/>
          <w:color w:val="000000"/>
          <w:sz w:val="24"/>
        </w:rPr>
        <w:t>自膨式金属支架（SEMS）桥接手术</w:t>
      </w:r>
      <w:r>
        <w:rPr>
          <w:rFonts w:ascii="Times New Roman" w:hAnsi="Times New Roman" w:eastAsia="宋体"/>
          <w:b w:val="0"/>
          <w:color w:val="000000"/>
          <w:sz w:val="24"/>
        </w:rPr>
        <w:t>是临床实践中广泛推荐的重要策略。</w:t>
      </w:r>
    </w:p>
    <w:p w14:paraId="0A1128E1">
      <w:pPr>
        <w:pStyle w:val="4"/>
        <w:keepNext/>
        <w:spacing w:before="220" w:after="100" w:line="360" w:lineRule="auto"/>
      </w:pPr>
      <w:bookmarkStart w:id="14" w:name="_LarkToc00015"/>
      <w:r>
        <w:rPr>
          <w:rFonts w:ascii="Times New Roman" w:hAnsi="Times New Roman" w:eastAsia="黑体"/>
          <w:b/>
          <w:color w:val="000000"/>
          <w:sz w:val="28"/>
        </w:rPr>
        <w:t>1. SEMS的定位</w:t>
      </w:r>
      <w:bookmarkEnd w:id="14"/>
    </w:p>
    <w:p w14:paraId="7D49A87B">
      <w:pPr>
        <w:pStyle w:val="16"/>
        <w:spacing w:before="0" w:after="0" w:line="360" w:lineRule="auto"/>
      </w:pPr>
      <w:r>
        <w:rPr>
          <w:rFonts w:ascii="Times New Roman" w:hAnsi="Times New Roman" w:eastAsia="宋体"/>
          <w:b w:val="0"/>
          <w:color w:val="000000"/>
          <w:sz w:val="24"/>
        </w:rPr>
        <w:t>SEMS作为“桥接手术”（bridge to surgery, BTS）的手段，先解除梗阻、充分肠道减压，将急诊手术转为限期手术，可</w:t>
      </w:r>
      <w:r>
        <w:rPr>
          <w:rFonts w:ascii="Times New Roman" w:hAnsi="Times New Roman" w:eastAsia="宋体"/>
          <w:b/>
          <w:color w:val="000000"/>
          <w:sz w:val="24"/>
        </w:rPr>
        <w:t>降低并发症率和死亡率，减少永久性造口的风险</w:t>
      </w:r>
      <w:r>
        <w:rPr>
          <w:rFonts w:ascii="Times New Roman" w:hAnsi="Times New Roman" w:eastAsia="宋体"/>
          <w:b w:val="0"/>
          <w:color w:val="000000"/>
          <w:sz w:val="24"/>
        </w:rPr>
        <w:t>。对于合并不完全性梗阻但保守治疗效果不理想的左半结肠癌患者，SEMS是优先考虑的桥接手段。</w:t>
      </w:r>
    </w:p>
    <w:p w14:paraId="41CABE06">
      <w:pPr>
        <w:pStyle w:val="16"/>
        <w:spacing w:before="0" w:after="0" w:line="360" w:lineRule="auto"/>
      </w:pPr>
      <w:r>
        <w:rPr>
          <w:rFonts w:ascii="Times New Roman" w:hAnsi="Times New Roman" w:eastAsia="宋体"/>
          <w:b w:val="0"/>
          <w:color w:val="000000"/>
          <w:sz w:val="24"/>
        </w:rPr>
        <w:t>肠道支架通常适用于远端结肠的病灶，并且放置后能使近端结肠减压，从而在择期结肠切除时能Ⅰ期吻合的病例。</w:t>
      </w:r>
    </w:p>
    <w:p w14:paraId="52CCDD23">
      <w:pPr>
        <w:pStyle w:val="4"/>
        <w:keepNext/>
        <w:spacing w:before="220" w:after="100" w:line="360" w:lineRule="auto"/>
      </w:pPr>
      <w:bookmarkStart w:id="15" w:name="_LarkToc00016"/>
      <w:r>
        <w:rPr>
          <w:rFonts w:ascii="Times New Roman" w:hAnsi="Times New Roman" w:eastAsia="黑体"/>
          <w:b/>
          <w:color w:val="000000"/>
          <w:sz w:val="28"/>
        </w:rPr>
        <w:t>2. 支架后的手术时机</w:t>
      </w:r>
      <w:bookmarkEnd w:id="15"/>
    </w:p>
    <w:p w14:paraId="15E070D8">
      <w:pPr>
        <w:pStyle w:val="16"/>
        <w:spacing w:before="0" w:after="0" w:line="360" w:lineRule="auto"/>
      </w:pPr>
      <w:r>
        <w:rPr>
          <w:rFonts w:ascii="Times New Roman" w:hAnsi="Times New Roman" w:eastAsia="宋体"/>
          <w:b w:val="0"/>
          <w:color w:val="000000"/>
          <w:sz w:val="24"/>
        </w:rPr>
        <w:t>当前临床实践推荐的SEMS与外科手术之间的间隔</w:t>
      </w:r>
      <w:r>
        <w:rPr>
          <w:rFonts w:ascii="Times New Roman" w:hAnsi="Times New Roman" w:eastAsia="宋体"/>
          <w:b/>
          <w:color w:val="000000"/>
          <w:sz w:val="24"/>
        </w:rPr>
        <w:t>约为2周</w:t>
      </w:r>
      <w:r>
        <w:rPr>
          <w:rFonts w:ascii="Times New Roman" w:hAnsi="Times New Roman" w:eastAsia="宋体"/>
          <w:b w:val="0"/>
          <w:color w:val="000000"/>
          <w:sz w:val="24"/>
        </w:rPr>
        <w:t>。理想的手术间隔需要在支架相关不良事件（短间隔可减少）与手术效果改善（长间隔可改善）之间取得平衡。临床实践中手术间隔差异较大（3天至4周不等），需根据患者具体情况个体化决定。</w:t>
      </w:r>
    </w:p>
    <w:p w14:paraId="6A88DD0F">
      <w:pPr>
        <w:pStyle w:val="4"/>
        <w:keepNext/>
        <w:spacing w:before="220" w:after="100" w:line="360" w:lineRule="auto"/>
      </w:pPr>
      <w:bookmarkStart w:id="16" w:name="_LarkToc00017"/>
      <w:r>
        <w:rPr>
          <w:rFonts w:ascii="Times New Roman" w:hAnsi="Times New Roman" w:eastAsia="黑体"/>
          <w:b/>
          <w:color w:val="000000"/>
          <w:sz w:val="28"/>
        </w:rPr>
        <w:t>3. 支架后联合新辅助治疗的探索</w:t>
      </w:r>
      <w:bookmarkEnd w:id="16"/>
    </w:p>
    <w:p w14:paraId="1ED7D17F">
      <w:pPr>
        <w:pStyle w:val="16"/>
        <w:spacing w:before="0" w:after="0" w:line="360" w:lineRule="auto"/>
      </w:pPr>
      <w:r>
        <w:rPr>
          <w:rFonts w:ascii="Times New Roman" w:hAnsi="Times New Roman" w:eastAsia="宋体"/>
          <w:b w:val="0"/>
          <w:color w:val="000000"/>
          <w:sz w:val="24"/>
        </w:rPr>
        <w:t>对于梗阻性左半结肠癌，</w:t>
      </w:r>
      <w:r>
        <w:rPr>
          <w:rFonts w:ascii="Times New Roman" w:hAnsi="Times New Roman" w:eastAsia="宋体"/>
          <w:b/>
          <w:color w:val="000000"/>
          <w:sz w:val="24"/>
        </w:rPr>
        <w:t>先行支架置入，然后给予新辅助化疗或新辅助免疫治疗，将急诊手术变为限期手术</w:t>
      </w:r>
      <w:r>
        <w:rPr>
          <w:rFonts w:ascii="Times New Roman" w:hAnsi="Times New Roman" w:eastAsia="宋体"/>
          <w:b w:val="0"/>
          <w:color w:val="000000"/>
          <w:sz w:val="24"/>
        </w:rPr>
        <w:t>，被认为是理想的治疗模式。已有临床试验探索支架置入后联合免疫治疗+新辅助化疗的方案，目的是延长支架与手术之间的间隔、使肠道减压更充分，从而提高一期吻合成功率、降低造口风险。</w:t>
      </w:r>
    </w:p>
    <w:p w14:paraId="25950DF9">
      <w:pPr>
        <w:spacing w:before="0" w:after="0" w:line="360" w:lineRule="auto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重要提示：</w:t>
      </w:r>
    </w:p>
    <w:p w14:paraId="005A37C2">
      <w:pPr>
        <w:pStyle w:val="16"/>
        <w:spacing w:before="0" w:after="0" w:line="360" w:lineRule="auto"/>
      </w:pPr>
      <w:r>
        <w:rPr>
          <w:rFonts w:ascii="Times New Roman" w:hAnsi="Times New Roman" w:eastAsia="宋体"/>
          <w:b w:val="0"/>
          <w:color w:val="000000"/>
          <w:sz w:val="24"/>
        </w:rPr>
        <w:t>SEMS后新辅助治疗仍处于临床探索阶段，并非CSCO指南的常规推荐。在临床实践中，支架置入后是否联合新辅助治疗，应由MDT根据患者分子分型、梗阻缓解程度和肿瘤可切除性综合判断。</w:t>
      </w:r>
    </w:p>
    <w:p w14:paraId="712400CB">
      <w:pPr>
        <w:pStyle w:val="3"/>
        <w:keepNext/>
        <w:spacing w:before="280" w:after="120" w:line="360" w:lineRule="auto"/>
      </w:pPr>
      <w:bookmarkStart w:id="17" w:name="_LarkToc00018"/>
      <w:r>
        <w:rPr>
          <w:rFonts w:ascii="Times New Roman" w:hAnsi="Times New Roman" w:eastAsia="黑体"/>
          <w:b/>
          <w:color w:val="000000"/>
          <w:sz w:val="32"/>
        </w:rPr>
        <w:t>五、急诊手术路径（梗阻加重或保守治疗无效时）</w:t>
      </w:r>
      <w:bookmarkEnd w:id="17"/>
    </w:p>
    <w:p w14:paraId="15EB50E9">
      <w:pPr>
        <w:spacing w:before="0" w:after="0" w:line="360" w:lineRule="auto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若保守治疗或支架置入后梗阻未能缓解，或出现以下情况，需紧急手术：</w:t>
      </w:r>
    </w:p>
    <w:p w14:paraId="05A76BC8">
      <w:pPr>
        <w:pStyle w:val="16"/>
        <w:spacing w:before="0" w:after="0" w:line="360" w:lineRule="auto"/>
      </w:pPr>
      <w:r>
        <w:rPr>
          <w:rFonts w:ascii="Times New Roman" w:hAnsi="Times New Roman" w:eastAsia="宋体"/>
          <w:b w:val="0"/>
          <w:color w:val="000000"/>
          <w:sz w:val="24"/>
        </w:rPr>
        <w:t>腹膜炎体征、肠坏死或穿孔征象；</w:t>
      </w:r>
    </w:p>
    <w:p w14:paraId="4B6852D0">
      <w:pPr>
        <w:pStyle w:val="16"/>
        <w:spacing w:before="0" w:after="0" w:line="360" w:lineRule="auto"/>
      </w:pPr>
      <w:r>
        <w:rPr>
          <w:rFonts w:ascii="Times New Roman" w:hAnsi="Times New Roman" w:eastAsia="宋体"/>
          <w:b w:val="0"/>
          <w:color w:val="000000"/>
          <w:sz w:val="24"/>
        </w:rPr>
        <w:t>闭襻性梗阻；</w:t>
      </w:r>
    </w:p>
    <w:p w14:paraId="0D11649B">
      <w:pPr>
        <w:pStyle w:val="16"/>
        <w:spacing w:before="0" w:after="0" w:line="360" w:lineRule="auto"/>
      </w:pPr>
      <w:r>
        <w:rPr>
          <w:rFonts w:ascii="Times New Roman" w:hAnsi="Times New Roman" w:eastAsia="宋体"/>
          <w:b w:val="0"/>
          <w:color w:val="000000"/>
          <w:sz w:val="24"/>
        </w:rPr>
        <w:t>保守治疗期间梗阻进行性加重。</w:t>
      </w:r>
    </w:p>
    <w:p w14:paraId="7F697148">
      <w:pPr>
        <w:spacing w:before="0" w:after="0" w:line="360" w:lineRule="auto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手术方式选择（需外科医生根据经验和患者状态决策）：</w:t>
      </w:r>
    </w:p>
    <w:p w14:paraId="33E0EDE2">
      <w:pPr>
        <w:pStyle w:val="16"/>
        <w:spacing w:before="0" w:after="0" w:line="360" w:lineRule="auto"/>
      </w:pPr>
      <w:r>
        <w:rPr>
          <w:rFonts w:ascii="Times New Roman" w:hAnsi="Times New Roman" w:eastAsia="宋体"/>
          <w:b/>
          <w:color w:val="000000"/>
          <w:sz w:val="24"/>
        </w:rPr>
        <w:t>切除病灶+近端单腔造口（Hartmann术）</w:t>
      </w:r>
      <w:r>
        <w:rPr>
          <w:rFonts w:ascii="Times New Roman" w:hAnsi="Times New Roman" w:eastAsia="宋体"/>
          <w:b w:val="0"/>
          <w:color w:val="000000"/>
          <w:sz w:val="24"/>
        </w:rPr>
        <w:t>：适用于大多数可切除病例，手术相对简单，耗时较短，对梗阻时间长、全身状态差的患者较为适用。</w:t>
      </w:r>
    </w:p>
    <w:p w14:paraId="1C79C4FD">
      <w:pPr>
        <w:pStyle w:val="16"/>
        <w:spacing w:before="0" w:after="0" w:line="360" w:lineRule="auto"/>
      </w:pPr>
      <w:r>
        <w:rPr>
          <w:rFonts w:ascii="Times New Roman" w:hAnsi="Times New Roman" w:eastAsia="宋体"/>
          <w:b/>
          <w:color w:val="000000"/>
          <w:sz w:val="24"/>
        </w:rPr>
        <w:t>切除病灶+单纯一期吻合</w:t>
      </w:r>
      <w:r>
        <w:rPr>
          <w:rFonts w:ascii="Times New Roman" w:hAnsi="Times New Roman" w:eastAsia="宋体"/>
          <w:b w:val="0"/>
          <w:color w:val="000000"/>
          <w:sz w:val="24"/>
        </w:rPr>
        <w:t>：存在较大吻合口漏风险，需根据患者身体基础状态和肠道水肿严重程度谨慎判断。</w:t>
      </w:r>
    </w:p>
    <w:p w14:paraId="3B7919D1">
      <w:pPr>
        <w:pStyle w:val="16"/>
        <w:spacing w:before="0" w:after="0" w:line="360" w:lineRule="auto"/>
      </w:pPr>
      <w:r>
        <w:rPr>
          <w:rFonts w:ascii="Times New Roman" w:hAnsi="Times New Roman" w:eastAsia="宋体"/>
          <w:b/>
          <w:color w:val="000000"/>
          <w:sz w:val="24"/>
        </w:rPr>
        <w:t>姑息性手术（肠造口术、短路手术）</w:t>
      </w:r>
      <w:r>
        <w:rPr>
          <w:rFonts w:ascii="Times New Roman" w:hAnsi="Times New Roman" w:eastAsia="宋体"/>
          <w:b w:val="0"/>
          <w:color w:val="000000"/>
          <w:sz w:val="24"/>
        </w:rPr>
        <w:t>：适用于无法根治性切除的晚期患者，以缓解梗阻症状。</w:t>
      </w:r>
    </w:p>
    <w:p w14:paraId="21FC6330">
      <w:pPr>
        <w:pStyle w:val="16"/>
        <w:spacing w:before="0" w:after="0" w:line="360" w:lineRule="auto"/>
      </w:pPr>
      <w:r>
        <w:rPr>
          <w:rFonts w:ascii="Times New Roman" w:hAnsi="Times New Roman" w:eastAsia="宋体"/>
          <w:b/>
          <w:color w:val="000000"/>
          <w:sz w:val="24"/>
        </w:rPr>
        <w:t>急诊手术后的后续治疗</w:t>
      </w:r>
      <w:r>
        <w:rPr>
          <w:rFonts w:ascii="Times New Roman" w:hAnsi="Times New Roman" w:eastAsia="宋体"/>
          <w:b w:val="0"/>
          <w:color w:val="000000"/>
          <w:sz w:val="24"/>
        </w:rPr>
        <w:t>：术后根据病理分期和分子分型决定辅助治疗方案。若急诊手术时未检测MMR/MSI，术后应尽快补测，以指导辅助治疗决策。</w:t>
      </w:r>
    </w:p>
    <w:p w14:paraId="7B724F73">
      <w:pPr>
        <w:pStyle w:val="16"/>
        <w:spacing w:before="0" w:after="0" w:line="360" w:lineRule="auto"/>
      </w:pPr>
      <w:r>
        <w:rPr>
          <w:rFonts w:ascii="Times New Roman" w:hAnsi="Times New Roman" w:eastAsia="宋体"/>
          <w:b/>
          <w:color w:val="000000"/>
          <w:sz w:val="24"/>
        </w:rPr>
        <w:t>梗阻者不建议腹腔镜手术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 w14:paraId="4BB506EB">
      <w:pPr>
        <w:pStyle w:val="16"/>
        <w:spacing w:before="0" w:after="0" w:line="360" w:lineRule="auto"/>
      </w:pPr>
      <w:r>
        <w:rPr>
          <w:rFonts w:ascii="Times New Roman" w:hAnsi="Times New Roman" w:eastAsia="宋体"/>
          <w:b w:val="0"/>
          <w:color w:val="000000"/>
          <w:sz w:val="24"/>
        </w:rPr>
        <w:t>视腹腔污染程度选择，手术方式同前，充分冲洗引流。</w:t>
      </w:r>
    </w:p>
    <w:p w14:paraId="48AB2884">
      <w:pPr>
        <w:pStyle w:val="3"/>
        <w:keepNext/>
        <w:spacing w:before="280" w:after="120" w:line="360" w:lineRule="auto"/>
      </w:pPr>
      <w:bookmarkStart w:id="18" w:name="_LarkToc00019"/>
      <w:r>
        <w:rPr>
          <w:rFonts w:ascii="Times New Roman" w:hAnsi="Times New Roman" w:eastAsia="黑体"/>
          <w:b/>
          <w:color w:val="000000"/>
          <w:sz w:val="32"/>
        </w:rPr>
        <w:t>六、术后辅助化疗（2026版指南更新）</w:t>
      </w:r>
      <w:bookmarkEnd w:id="18"/>
    </w:p>
    <w:p w14:paraId="2AD91045">
      <w:pPr>
        <w:spacing w:before="0" w:after="0" w:line="360" w:lineRule="auto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Ⅰ期：</w:t>
      </w:r>
    </w:p>
    <w:p w14:paraId="7EA31548">
      <w:pPr>
        <w:pStyle w:val="16"/>
        <w:spacing w:before="0" w:after="0" w:line="360" w:lineRule="auto"/>
      </w:pPr>
      <w:r>
        <w:rPr>
          <w:rFonts w:ascii="Times New Roman" w:hAnsi="Times New Roman" w:eastAsia="宋体"/>
          <w:b w:val="0"/>
          <w:color w:val="000000"/>
          <w:sz w:val="24"/>
        </w:rPr>
        <w:t>T1—2N0M0：观察（1A类）。</w:t>
      </w:r>
    </w:p>
    <w:p w14:paraId="6B21B9E6">
      <w:pPr>
        <w:spacing w:before="0" w:after="0" w:line="360" w:lineRule="auto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Ⅱ期：</w:t>
      </w:r>
    </w:p>
    <w:p w14:paraId="3D54B863">
      <w:pPr>
        <w:pStyle w:val="16"/>
        <w:spacing w:before="0" w:after="0" w:line="360" w:lineRule="auto"/>
      </w:pPr>
      <w:r>
        <w:rPr>
          <w:rFonts w:ascii="Times New Roman" w:hAnsi="Times New Roman" w:eastAsia="宋体"/>
          <w:b/>
          <w:color w:val="000000"/>
          <w:sz w:val="24"/>
        </w:rPr>
        <w:t>低危（T3N0M0，dMMR，无论是否伴有高危因素）</w:t>
      </w:r>
      <w:r>
        <w:rPr>
          <w:rFonts w:ascii="Times New Roman" w:hAnsi="Times New Roman" w:eastAsia="宋体"/>
          <w:b w:val="0"/>
          <w:color w:val="000000"/>
          <w:sz w:val="24"/>
        </w:rPr>
        <w:t>：观察（1A类）。</w:t>
      </w:r>
    </w:p>
    <w:p w14:paraId="10681E4B">
      <w:pPr>
        <w:pStyle w:val="16"/>
        <w:spacing w:before="0" w:after="0" w:line="360" w:lineRule="auto"/>
      </w:pPr>
      <w:r>
        <w:rPr>
          <w:rFonts w:ascii="Times New Roman" w:hAnsi="Times New Roman" w:eastAsia="宋体"/>
          <w:b/>
          <w:color w:val="000000"/>
          <w:sz w:val="24"/>
        </w:rPr>
        <w:t>普危（T3N0M0，pMMR且无高危因素）</w:t>
      </w:r>
      <w:r>
        <w:rPr>
          <w:rFonts w:ascii="Times New Roman" w:hAnsi="Times New Roman" w:eastAsia="宋体"/>
          <w:b w:val="0"/>
          <w:color w:val="000000"/>
          <w:sz w:val="24"/>
        </w:rPr>
        <w:t>：单药氟尿嘧啶化疗（1A类）。</w:t>
      </w:r>
    </w:p>
    <w:p w14:paraId="056FBAF4">
      <w:pPr>
        <w:pStyle w:val="16"/>
        <w:spacing w:before="0" w:after="0" w:line="360" w:lineRule="auto"/>
      </w:pPr>
      <w:r>
        <w:rPr>
          <w:rFonts w:ascii="Times New Roman" w:hAnsi="Times New Roman" w:eastAsia="宋体"/>
          <w:b/>
          <w:color w:val="000000"/>
          <w:sz w:val="24"/>
        </w:rPr>
        <w:t>高危（T3N0M0/pMMR伴高危因素，或T4N0M0）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</w:p>
    <w:p w14:paraId="152E6CD9">
      <w:pPr>
        <w:pStyle w:val="23"/>
        <w:spacing w:before="0" w:after="0" w:line="360" w:lineRule="auto"/>
      </w:pPr>
      <w:r>
        <w:rPr>
          <w:rFonts w:ascii="Times New Roman" w:hAnsi="Times New Roman" w:eastAsia="宋体"/>
          <w:b/>
          <w:color w:val="000000"/>
          <w:sz w:val="24"/>
        </w:rPr>
        <w:t>Ⅰ级推荐</w:t>
      </w:r>
      <w:r>
        <w:rPr>
          <w:rFonts w:ascii="Times New Roman" w:hAnsi="Times New Roman" w:eastAsia="宋体"/>
          <w:b w:val="0"/>
          <w:color w:val="000000"/>
          <w:sz w:val="24"/>
        </w:rPr>
        <w:t>：联合方案化疗（1A类）；</w:t>
      </w:r>
    </w:p>
    <w:p w14:paraId="26A23F52">
      <w:pPr>
        <w:pStyle w:val="23"/>
        <w:spacing w:before="0" w:after="0" w:line="360" w:lineRule="auto"/>
      </w:pPr>
      <w:r>
        <w:rPr>
          <w:rFonts w:ascii="Times New Roman" w:hAnsi="Times New Roman" w:eastAsia="宋体"/>
          <w:b/>
          <w:color w:val="000000"/>
          <w:sz w:val="24"/>
        </w:rPr>
        <w:t>Ⅱ级推荐</w:t>
      </w:r>
      <w:r>
        <w:rPr>
          <w:rFonts w:ascii="Times New Roman" w:hAnsi="Times New Roman" w:eastAsia="宋体"/>
          <w:b w:val="0"/>
          <w:color w:val="000000"/>
          <w:sz w:val="24"/>
        </w:rPr>
        <w:t>：单药氟尿嘧啶化疗（限pMMR患者）（1B类）；</w:t>
      </w:r>
    </w:p>
    <w:p w14:paraId="466559EC">
      <w:pPr>
        <w:pStyle w:val="23"/>
        <w:spacing w:before="0" w:after="0" w:line="360" w:lineRule="auto"/>
      </w:pPr>
      <w:r>
        <w:rPr>
          <w:rFonts w:ascii="Times New Roman" w:hAnsi="Times New Roman" w:eastAsia="宋体"/>
          <w:b/>
          <w:color w:val="000000"/>
          <w:sz w:val="24"/>
        </w:rPr>
        <w:t>Ⅲ级推荐</w:t>
      </w:r>
      <w:r>
        <w:rPr>
          <w:rFonts w:ascii="Times New Roman" w:hAnsi="Times New Roman" w:eastAsia="宋体"/>
          <w:b w:val="0"/>
          <w:color w:val="000000"/>
          <w:sz w:val="24"/>
        </w:rPr>
        <w:t>：观察（3类）。</w:t>
      </w:r>
    </w:p>
    <w:p w14:paraId="12ED3066">
      <w:pPr>
        <w:spacing w:before="0" w:after="0" w:line="360" w:lineRule="auto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高危因素包括：</w:t>
      </w:r>
    </w:p>
    <w:p w14:paraId="1BF67030">
      <w:pPr>
        <w:pStyle w:val="16"/>
        <w:spacing w:before="0" w:after="0" w:line="360" w:lineRule="auto"/>
      </w:pPr>
      <w:r>
        <w:rPr>
          <w:rFonts w:ascii="Times New Roman" w:hAnsi="Times New Roman" w:eastAsia="宋体"/>
          <w:b w:val="0"/>
          <w:color w:val="000000"/>
          <w:sz w:val="24"/>
        </w:rPr>
        <w:t>T4、组织学分化差（高级别，不包括MSI-H者）、脉管浸润、神经浸润、术前肠梗阻或肿瘤部位穿孔、切缘阳性或情况不明、切缘安全距离不足、送检淋巴结不足12枚。</w:t>
      </w:r>
    </w:p>
    <w:p w14:paraId="59C93153">
      <w:pPr>
        <w:spacing w:before="0" w:after="0" w:line="360" w:lineRule="auto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Ⅲ期：</w:t>
      </w:r>
    </w:p>
    <w:p w14:paraId="4CA45DA6">
      <w:pPr>
        <w:pStyle w:val="16"/>
        <w:spacing w:before="0" w:after="0" w:line="360" w:lineRule="auto"/>
      </w:pPr>
      <w:r>
        <w:rPr>
          <w:rFonts w:ascii="Times New Roman" w:hAnsi="Times New Roman" w:eastAsia="宋体"/>
          <w:b/>
          <w:color w:val="000000"/>
          <w:sz w:val="24"/>
        </w:rPr>
        <w:t>任何T N+ M0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</w:p>
    <w:p w14:paraId="724AE3F7">
      <w:pPr>
        <w:pStyle w:val="23"/>
        <w:spacing w:before="0" w:after="0" w:line="360" w:lineRule="auto"/>
      </w:pPr>
      <w:r>
        <w:rPr>
          <w:rFonts w:ascii="Times New Roman" w:hAnsi="Times New Roman" w:eastAsia="宋体"/>
          <w:b/>
          <w:color w:val="000000"/>
          <w:sz w:val="24"/>
        </w:rPr>
        <w:t>Ⅰ级推荐</w:t>
      </w:r>
      <w:r>
        <w:rPr>
          <w:rFonts w:ascii="Times New Roman" w:hAnsi="Times New Roman" w:eastAsia="宋体"/>
          <w:b w:val="0"/>
          <w:color w:val="000000"/>
          <w:sz w:val="24"/>
        </w:rPr>
        <w:t>：联合方案化疗（1A类）；</w:t>
      </w:r>
    </w:p>
    <w:p w14:paraId="33133D71">
      <w:pPr>
        <w:pStyle w:val="23"/>
        <w:spacing w:before="0" w:after="0" w:line="360" w:lineRule="auto"/>
      </w:pPr>
      <w:r>
        <w:rPr>
          <w:rFonts w:ascii="Times New Roman" w:hAnsi="Times New Roman" w:eastAsia="宋体"/>
          <w:b/>
          <w:color w:val="000000"/>
          <w:sz w:val="24"/>
        </w:rPr>
        <w:t>Ⅱ级推荐</w:t>
      </w:r>
      <w:r>
        <w:rPr>
          <w:rFonts w:ascii="Times New Roman" w:hAnsi="Times New Roman" w:eastAsia="宋体"/>
          <w:b w:val="0"/>
          <w:color w:val="000000"/>
          <w:sz w:val="24"/>
        </w:rPr>
        <w:t>：单药氟尿嘧啶化疗（1B类）；</w:t>
      </w:r>
    </w:p>
    <w:p w14:paraId="560D6A11">
      <w:pPr>
        <w:pStyle w:val="23"/>
        <w:spacing w:before="0" w:after="0" w:line="360" w:lineRule="auto"/>
      </w:pPr>
      <w:r>
        <w:rPr>
          <w:rFonts w:ascii="Times New Roman" w:hAnsi="Times New Roman" w:eastAsia="宋体"/>
          <w:b/>
          <w:color w:val="000000"/>
          <w:sz w:val="24"/>
        </w:rPr>
        <w:t>Ⅲ级推荐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color w:val="000000"/>
          <w:sz w:val="24"/>
        </w:rPr>
        <w:t>FOLFOX+阿替利珠单抗（限dMMR患者）</w:t>
      </w:r>
      <w:r>
        <w:rPr>
          <w:rFonts w:ascii="Times New Roman" w:hAnsi="Times New Roman" w:eastAsia="宋体"/>
          <w:b w:val="0"/>
          <w:color w:val="000000"/>
          <w:sz w:val="24"/>
        </w:rPr>
        <w:t>（1B类）。该推荐基于ATOMIC研究，提示该方案可作为Ⅲ期dMMR型结肠癌根治术后有效的辅助治疗策略。</w:t>
      </w:r>
    </w:p>
    <w:p w14:paraId="2ED31802">
      <w:pPr>
        <w:spacing w:before="0" w:after="0" w:line="360" w:lineRule="auto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MSI-H/dMMR患者新辅助免疫后的辅助决策：</w:t>
      </w:r>
    </w:p>
    <w:p w14:paraId="7C2D1CE3">
      <w:pPr>
        <w:pStyle w:val="16"/>
        <w:spacing w:before="0" w:after="0" w:line="360" w:lineRule="auto"/>
      </w:pPr>
      <w:r>
        <w:rPr>
          <w:rFonts w:ascii="Times New Roman" w:hAnsi="Times New Roman" w:eastAsia="宋体"/>
          <w:b w:val="0"/>
          <w:color w:val="000000"/>
          <w:sz w:val="24"/>
        </w:rPr>
        <w:t>若新辅助免疫后达到pCR或降期为Ⅰ—Ⅱ期，推荐</w:t>
      </w:r>
      <w:r>
        <w:rPr>
          <w:rFonts w:ascii="Times New Roman" w:hAnsi="Times New Roman" w:eastAsia="宋体"/>
          <w:b/>
          <w:color w:val="000000"/>
          <w:sz w:val="24"/>
        </w:rPr>
        <w:t>观察</w:t>
      </w:r>
      <w:r>
        <w:rPr>
          <w:rFonts w:ascii="Times New Roman" w:hAnsi="Times New Roman" w:eastAsia="宋体"/>
          <w:b w:val="0"/>
          <w:color w:val="000000"/>
          <w:sz w:val="24"/>
        </w:rPr>
        <w:t>（降期至T4N0M0者建议辅助化疗）；</w:t>
      </w:r>
    </w:p>
    <w:p w14:paraId="53514747">
      <w:pPr>
        <w:pStyle w:val="16"/>
        <w:spacing w:before="0" w:after="0" w:line="360" w:lineRule="auto"/>
      </w:pPr>
      <w:r>
        <w:rPr>
          <w:rFonts w:ascii="Times New Roman" w:hAnsi="Times New Roman" w:eastAsia="宋体"/>
          <w:b w:val="0"/>
          <w:color w:val="000000"/>
          <w:sz w:val="24"/>
        </w:rPr>
        <w:t>若仍为Ⅲ期，则需辅助化疗；</w:t>
      </w:r>
    </w:p>
    <w:p w14:paraId="3DF43801">
      <w:pPr>
        <w:pStyle w:val="16"/>
        <w:spacing w:before="0" w:after="0" w:line="360" w:lineRule="auto"/>
      </w:pPr>
      <w:r>
        <w:rPr>
          <w:rFonts w:ascii="Times New Roman" w:hAnsi="Times New Roman" w:eastAsia="宋体"/>
          <w:b w:val="0"/>
          <w:color w:val="000000"/>
          <w:sz w:val="24"/>
        </w:rPr>
        <w:t>对于直接进行手术的dMMR患者，</w:t>
      </w:r>
      <w:r>
        <w:rPr>
          <w:rFonts w:ascii="Times New Roman" w:hAnsi="Times New Roman" w:eastAsia="宋体"/>
          <w:b/>
          <w:color w:val="000000"/>
          <w:sz w:val="24"/>
        </w:rPr>
        <w:t>明确反对在临床试验外常规单用免疫检查点抑制剂进行辅助治疗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 w14:paraId="3D20B53B">
      <w:pPr>
        <w:spacing w:before="0" w:after="0" w:line="360" w:lineRule="auto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MSS/pMMR患者：</w:t>
      </w:r>
    </w:p>
    <w:p w14:paraId="7E30877F">
      <w:pPr>
        <w:pStyle w:val="16"/>
        <w:spacing w:before="0" w:after="0" w:line="360" w:lineRule="auto"/>
      </w:pPr>
      <w:r>
        <w:rPr>
          <w:rFonts w:ascii="Times New Roman" w:hAnsi="Times New Roman" w:eastAsia="宋体"/>
          <w:b w:val="0"/>
          <w:color w:val="000000"/>
          <w:sz w:val="24"/>
        </w:rPr>
        <w:t>Ⅲ期及高危Ⅱ期术后辅助化疗为标准治疗。高危Ⅱ期首选CAPOX方案。低危Ⅲ期（T1—3N1）可考虑3个月CapeOx方案辅助化疗。</w:t>
      </w:r>
    </w:p>
    <w:p w14:paraId="03CEFFF0">
      <w:pPr>
        <w:spacing w:before="0" w:after="0" w:line="360" w:lineRule="auto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辅助化疗具体方案：</w:t>
      </w:r>
    </w:p>
    <w:p w14:paraId="026A18F5">
      <w:pPr>
        <w:pStyle w:val="16"/>
        <w:spacing w:before="0" w:after="0" w:line="360" w:lineRule="auto"/>
      </w:pPr>
      <w:r>
        <w:rPr>
          <w:rFonts w:ascii="Times New Roman" w:hAnsi="Times New Roman" w:eastAsia="宋体"/>
          <w:b w:val="0"/>
          <w:color w:val="000000"/>
          <w:sz w:val="24"/>
        </w:rPr>
        <w:t>卡培他滨：每次1250mg/m²，口服，每天2次，第1—14天，每3周重复，共8个周期。</w:t>
      </w:r>
    </w:p>
    <w:p w14:paraId="27E35F39">
      <w:pPr>
        <w:pStyle w:val="16"/>
        <w:spacing w:before="0" w:after="0" w:line="360" w:lineRule="auto"/>
      </w:pPr>
      <w:r>
        <w:rPr>
          <w:rFonts w:ascii="Times New Roman" w:hAnsi="Times New Roman" w:eastAsia="宋体"/>
          <w:b w:val="0"/>
          <w:color w:val="000000"/>
          <w:sz w:val="24"/>
        </w:rPr>
        <w:t>简化的双周5-FU输注/LV方案（sLV5FU2）：LV 400mg/m²，静脉滴注2小时，第1天；随后5-FU 400mg/m²，静脉推注，第1天；然后1200mg/(m²·d)×2天，持续静脉输注（总量2400mg/m²，输注46—48小时），每2周重复，共12次。</w:t>
      </w:r>
    </w:p>
    <w:p w14:paraId="27DA6CCC">
      <w:pPr>
        <w:pStyle w:val="16"/>
        <w:spacing w:before="0" w:after="0" w:line="360" w:lineRule="auto"/>
      </w:pPr>
      <w:r>
        <w:rPr>
          <w:rFonts w:ascii="Times New Roman" w:hAnsi="Times New Roman" w:eastAsia="宋体"/>
          <w:b w:val="0"/>
          <w:color w:val="000000"/>
          <w:sz w:val="24"/>
        </w:rPr>
        <w:t>CAPEOX（又称XELOX）：奥沙利铂130mg/m²，静脉输注2小时，第1天；卡培他滨每次1000mg/m²，口服，每天2次，第1—14天，每3周重复，共8个周期。</w:t>
      </w:r>
    </w:p>
    <w:p w14:paraId="2226A51D">
      <w:pPr>
        <w:pStyle w:val="16"/>
        <w:spacing w:before="0" w:after="0" w:line="360" w:lineRule="auto"/>
      </w:pPr>
      <w:r>
        <w:rPr>
          <w:rFonts w:ascii="Times New Roman" w:hAnsi="Times New Roman" w:eastAsia="宋体"/>
          <w:b w:val="0"/>
          <w:color w:val="000000"/>
          <w:sz w:val="24"/>
        </w:rPr>
        <w:t>mFOLFOX6：奥沙利铂85mg/m²，静脉输注2小时，第1天；LV 400mg/m²，静脉输注2小时，第1天；5-FU 400mg/m²，静脉推注，第1天；然后1200mg/(m²·d)×2天，持续静脉输注（总量2400mg/m²，输注46—48小时），每2周重复，共12次。</w:t>
      </w:r>
    </w:p>
    <w:p w14:paraId="09CD2F54">
      <w:pPr>
        <w:pStyle w:val="16"/>
        <w:spacing w:before="0" w:after="0" w:line="360" w:lineRule="auto"/>
      </w:pPr>
      <w:r>
        <w:rPr>
          <w:rFonts w:ascii="Times New Roman" w:hAnsi="Times New Roman" w:eastAsia="宋体"/>
          <w:b w:val="0"/>
          <w:color w:val="000000"/>
          <w:sz w:val="24"/>
        </w:rPr>
        <w:t>FOLFOXIRI：伊立替康165mg/m²，静脉输注，第1天；奥沙利铂85mg/m²，静脉输注，第1天；LV 400mg/m²，静脉输注，第1天；5-FU总量2400—3200mg/m²，第1天，持续静脉输注48小时，每2周重复，共12次。</w:t>
      </w:r>
    </w:p>
    <w:p w14:paraId="7BA3B5B6">
      <w:pPr>
        <w:pStyle w:val="16"/>
        <w:spacing w:before="0" w:after="0" w:line="360" w:lineRule="auto"/>
      </w:pPr>
      <w:r>
        <w:rPr>
          <w:rFonts w:ascii="Times New Roman" w:hAnsi="Times New Roman" w:eastAsia="宋体"/>
          <w:b w:val="0"/>
          <w:color w:val="000000"/>
          <w:sz w:val="24"/>
        </w:rPr>
        <w:t>mFOLFOX6+阿替利珠单抗：奥沙利铂85mg/m²，静脉输注2小时，第1天；LV 400mg/m²，静脉输注2小时，第1天；5-FU 400mg/m²，静脉推注，第1天；然后1200mg/(m²·d)×2天，持续静脉输注（总量2400mg/m²，输注46—48小时），每2周重复，共12次；阿替利珠单抗840mg，静脉输注，每2周重复，共25次。</w:t>
      </w:r>
    </w:p>
    <w:p w14:paraId="426B6A7C">
      <w:pPr>
        <w:pStyle w:val="16"/>
        <w:spacing w:before="0" w:after="0" w:line="360" w:lineRule="auto"/>
      </w:pPr>
      <w:r>
        <w:rPr>
          <w:rFonts w:ascii="Times New Roman" w:hAnsi="Times New Roman" w:eastAsia="宋体"/>
          <w:b w:val="0"/>
          <w:color w:val="000000"/>
          <w:sz w:val="24"/>
        </w:rPr>
        <w:t>信迪利单抗+伊匹木单抗N01：信迪利单抗200mg，静脉输注，每3周重复，共2次；伊匹木单抗N01 1mg/kg，静脉输注，共1次。</w:t>
      </w:r>
    </w:p>
    <w:p w14:paraId="36D64C25">
      <w:pPr>
        <w:spacing w:before="0" w:after="0" w:line="360" w:lineRule="auto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辅助化疗注意事项：</w:t>
      </w:r>
    </w:p>
    <w:p w14:paraId="68305BF5">
      <w:pPr>
        <w:pStyle w:val="16"/>
        <w:spacing w:before="0" w:after="0" w:line="360" w:lineRule="auto"/>
      </w:pPr>
      <w:r>
        <w:rPr>
          <w:rFonts w:ascii="Times New Roman" w:hAnsi="Times New Roman" w:eastAsia="宋体"/>
          <w:b w:val="0"/>
          <w:color w:val="000000"/>
          <w:sz w:val="24"/>
        </w:rPr>
        <w:t>术后身体恢复后应尽快开始辅助化疗，一般在术后3周左右开始，不应迟于术后2个月。</w:t>
      </w:r>
    </w:p>
    <w:p w14:paraId="71C15C20">
      <w:pPr>
        <w:pStyle w:val="16"/>
        <w:spacing w:before="0" w:after="0" w:line="360" w:lineRule="auto"/>
      </w:pPr>
      <w:r>
        <w:rPr>
          <w:rFonts w:ascii="Times New Roman" w:hAnsi="Times New Roman" w:eastAsia="宋体"/>
          <w:b w:val="0"/>
          <w:color w:val="000000"/>
          <w:sz w:val="24"/>
        </w:rPr>
        <w:t>除临床试验外，不推荐在辅助化疗中使用如下药物：伊立替康、替吉奥、曲氟尿苷替匹嘧啶（TAS-102）、所有的靶向药物和所有的免疫检查点抑制剂（但dMMR患者FOLFOX+阿替利珠单抗为Ⅲ级推荐）。</w:t>
      </w:r>
    </w:p>
    <w:p w14:paraId="200D59D1">
      <w:pPr>
        <w:pStyle w:val="3"/>
        <w:keepNext/>
        <w:spacing w:before="280" w:after="120" w:line="360" w:lineRule="auto"/>
      </w:pPr>
      <w:bookmarkStart w:id="19" w:name="_LarkToc00020"/>
      <w:r>
        <w:rPr>
          <w:rFonts w:ascii="Times New Roman" w:hAnsi="Times New Roman" w:eastAsia="黑体"/>
          <w:b/>
          <w:color w:val="000000"/>
          <w:sz w:val="32"/>
        </w:rPr>
        <w:t>七、出院标准与随访</w:t>
      </w:r>
      <w:bookmarkEnd w:id="19"/>
    </w:p>
    <w:p w14:paraId="18DD2632">
      <w:pPr>
        <w:spacing w:before="0" w:after="0" w:line="360" w:lineRule="auto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出院标准同无梗阻结肠癌：</w:t>
      </w:r>
    </w:p>
    <w:p w14:paraId="6288F1D6">
      <w:pPr>
        <w:pStyle w:val="16"/>
        <w:spacing w:before="0" w:after="0" w:line="360" w:lineRule="auto"/>
      </w:pPr>
      <w:r>
        <w:rPr>
          <w:rFonts w:ascii="Times New Roman" w:hAnsi="Times New Roman" w:eastAsia="宋体"/>
          <w:b w:val="0"/>
          <w:color w:val="000000"/>
          <w:sz w:val="24"/>
        </w:rPr>
        <w:t>体温正常3天以上、恢复半流质或软食、疼痛可控、无吻合口瘘/感染/出血等严重并发症、伤口愈合良好、能独立行走和基本自理。</w:t>
      </w:r>
    </w:p>
    <w:p w14:paraId="699D28DE">
      <w:pPr>
        <w:spacing w:before="0" w:after="0" w:line="360" w:lineRule="auto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住院时间参考：</w:t>
      </w:r>
    </w:p>
    <w:p w14:paraId="68C558E1">
      <w:pPr>
        <w:pStyle w:val="16"/>
        <w:spacing w:before="0" w:after="0" w:line="360" w:lineRule="auto"/>
      </w:pPr>
      <w:r>
        <w:rPr>
          <w:rFonts w:ascii="Times New Roman" w:hAnsi="Times New Roman" w:eastAsia="宋体"/>
          <w:b w:val="0"/>
          <w:color w:val="000000"/>
          <w:sz w:val="24"/>
        </w:rPr>
        <w:t>梗阻处理+确诊分期约5—10天；支架桥接后手术者，支架置入至手术约2周，总住院时间相应延长。</w:t>
      </w:r>
    </w:p>
    <w:p w14:paraId="6B080CB7">
      <w:pPr>
        <w:spacing w:before="0" w:after="0" w:line="360" w:lineRule="auto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随访计划（2026版指南）：</w:t>
      </w:r>
    </w:p>
    <w:p w14:paraId="6337FBB7">
      <w:pPr>
        <w:spacing w:before="0" w:after="0" w:line="360" w:lineRule="auto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随访频率：</w:t>
      </w:r>
    </w:p>
    <w:p w14:paraId="52C0BA38">
      <w:pPr>
        <w:pStyle w:val="16"/>
        <w:spacing w:before="0" w:after="0" w:line="360" w:lineRule="auto"/>
      </w:pPr>
      <w:r>
        <w:rPr>
          <w:rFonts w:ascii="Times New Roman" w:hAnsi="Times New Roman" w:eastAsia="宋体"/>
          <w:b/>
          <w:color w:val="000000"/>
          <w:sz w:val="24"/>
        </w:rPr>
        <w:t>Ⅰ期</w:t>
      </w:r>
      <w:r>
        <w:rPr>
          <w:rFonts w:ascii="Times New Roman" w:hAnsi="Times New Roman" w:eastAsia="宋体"/>
          <w:b w:val="0"/>
          <w:color w:val="000000"/>
          <w:sz w:val="24"/>
        </w:rPr>
        <w:t>：每6个月一次，共5年；</w:t>
      </w:r>
    </w:p>
    <w:p w14:paraId="6D352397">
      <w:pPr>
        <w:pStyle w:val="16"/>
        <w:spacing w:before="0" w:after="0" w:line="360" w:lineRule="auto"/>
      </w:pPr>
      <w:r>
        <w:rPr>
          <w:rFonts w:ascii="Times New Roman" w:hAnsi="Times New Roman" w:eastAsia="宋体"/>
          <w:b/>
          <w:color w:val="000000"/>
          <w:sz w:val="24"/>
        </w:rPr>
        <w:t>Ⅱ—Ⅲ期</w:t>
      </w:r>
      <w:r>
        <w:rPr>
          <w:rFonts w:ascii="Times New Roman" w:hAnsi="Times New Roman" w:eastAsia="宋体"/>
          <w:b w:val="0"/>
          <w:color w:val="000000"/>
          <w:sz w:val="24"/>
        </w:rPr>
        <w:t>：每3个月一次，共3年；然后每6个月一次，至术后5年；5年后每年一次。</w:t>
      </w:r>
    </w:p>
    <w:p w14:paraId="6E879A51">
      <w:pPr>
        <w:spacing w:before="0" w:after="0" w:line="360" w:lineRule="auto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随访内容（无特指时即为每次）：</w:t>
      </w:r>
    </w:p>
    <w:p w14:paraId="052BAC70">
      <w:pPr>
        <w:pStyle w:val="16"/>
        <w:spacing w:before="0" w:after="0" w:line="360" w:lineRule="auto"/>
      </w:pPr>
      <w:r>
        <w:rPr>
          <w:rFonts w:ascii="Times New Roman" w:hAnsi="Times New Roman" w:eastAsia="宋体"/>
          <w:b w:val="0"/>
          <w:color w:val="000000"/>
          <w:sz w:val="24"/>
        </w:rPr>
        <w:t>体格检查，强调肛门指诊；</w:t>
      </w:r>
    </w:p>
    <w:p w14:paraId="2EFE7F1B">
      <w:pPr>
        <w:pStyle w:val="16"/>
        <w:spacing w:before="0" w:after="0" w:line="360" w:lineRule="auto"/>
      </w:pPr>
      <w:r>
        <w:rPr>
          <w:rFonts w:ascii="Times New Roman" w:hAnsi="Times New Roman" w:eastAsia="宋体"/>
          <w:b w:val="0"/>
          <w:color w:val="000000"/>
          <w:sz w:val="24"/>
        </w:rPr>
        <w:t>血CEA；</w:t>
      </w:r>
    </w:p>
    <w:p w14:paraId="59A1D070">
      <w:pPr>
        <w:pStyle w:val="16"/>
        <w:spacing w:before="0" w:after="0" w:line="360" w:lineRule="auto"/>
      </w:pPr>
      <w:r>
        <w:rPr>
          <w:rFonts w:ascii="Times New Roman" w:hAnsi="Times New Roman" w:eastAsia="宋体"/>
          <w:b w:val="0"/>
          <w:color w:val="000000"/>
          <w:sz w:val="24"/>
        </w:rPr>
        <w:t>肝脏超声检查（Ⅰ—Ⅱ期）；</w:t>
      </w:r>
    </w:p>
    <w:p w14:paraId="3BD0CD19">
      <w:pPr>
        <w:pStyle w:val="16"/>
        <w:spacing w:before="0" w:after="0" w:line="360" w:lineRule="auto"/>
      </w:pPr>
      <w:r>
        <w:rPr>
          <w:rFonts w:ascii="Times New Roman" w:hAnsi="Times New Roman" w:eastAsia="宋体"/>
          <w:b w:val="0"/>
          <w:color w:val="000000"/>
          <w:sz w:val="24"/>
        </w:rPr>
        <w:t>每年一次胸腹盆腔CT（Ⅲ期或CEA、超声异常时）；</w:t>
      </w:r>
    </w:p>
    <w:p w14:paraId="50DAB67B">
      <w:pPr>
        <w:pStyle w:val="16"/>
        <w:spacing w:before="0" w:after="0" w:line="360" w:lineRule="auto"/>
      </w:pPr>
      <w:r>
        <w:rPr>
          <w:rFonts w:ascii="Times New Roman" w:hAnsi="Times New Roman" w:eastAsia="宋体"/>
          <w:b w:val="0"/>
          <w:color w:val="000000"/>
          <w:sz w:val="24"/>
        </w:rPr>
        <w:t>结肠镜检查：</w:t>
      </w:r>
    </w:p>
    <w:p w14:paraId="52EF10FE">
      <w:pPr>
        <w:pStyle w:val="23"/>
        <w:spacing w:before="0" w:after="0" w:line="360" w:lineRule="auto"/>
      </w:pPr>
      <w:r>
        <w:rPr>
          <w:rFonts w:ascii="Times New Roman" w:hAnsi="Times New Roman" w:eastAsia="宋体"/>
          <w:b w:val="0"/>
          <w:color w:val="000000"/>
          <w:sz w:val="24"/>
        </w:rPr>
        <w:t>术后1年内进行首次结肠镜检查；</w:t>
      </w:r>
    </w:p>
    <w:p w14:paraId="24C04444">
      <w:pPr>
        <w:pStyle w:val="23"/>
        <w:spacing w:before="0" w:after="0" w:line="360" w:lineRule="auto"/>
      </w:pPr>
      <w:r>
        <w:rPr>
          <w:rFonts w:ascii="Times New Roman" w:hAnsi="Times New Roman" w:eastAsia="宋体"/>
          <w:b w:val="0"/>
          <w:color w:val="000000"/>
          <w:sz w:val="24"/>
        </w:rPr>
        <w:t>如果术前因肿瘤梗阻无法行全结肠镜检查，术后3—6个月检查；</w:t>
      </w:r>
    </w:p>
    <w:p w14:paraId="3FA2F41F">
      <w:pPr>
        <w:pStyle w:val="23"/>
        <w:spacing w:before="0" w:after="0" w:line="360" w:lineRule="auto"/>
      </w:pPr>
      <w:r>
        <w:rPr>
          <w:rFonts w:ascii="Times New Roman" w:hAnsi="Times New Roman" w:eastAsia="宋体"/>
          <w:b w:val="0"/>
          <w:color w:val="000000"/>
          <w:sz w:val="24"/>
        </w:rPr>
        <w:t>每次肠镜检查若发现进展期腺瘤（绒毛状腺瘤，直径大于1cm，或有高级别不典型增生），需在1年内复查；</w:t>
      </w:r>
    </w:p>
    <w:p w14:paraId="2C09364F">
      <w:pPr>
        <w:pStyle w:val="23"/>
        <w:spacing w:before="0" w:after="0" w:line="360" w:lineRule="auto"/>
      </w:pPr>
      <w:r>
        <w:rPr>
          <w:rFonts w:ascii="Times New Roman" w:hAnsi="Times New Roman" w:eastAsia="宋体"/>
          <w:b w:val="0"/>
          <w:color w:val="000000"/>
          <w:sz w:val="24"/>
        </w:rPr>
        <w:t>若未发现进展期腺瘤，则3年内复查，然后每5年一次。</w:t>
      </w:r>
    </w:p>
    <w:p w14:paraId="59ADA7BD">
      <w:pPr>
        <w:spacing w:before="0" w:after="0" w:line="360" w:lineRule="auto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Ⅱ级推荐随访内容：</w:t>
      </w:r>
    </w:p>
    <w:p w14:paraId="68CCAAD3">
      <w:pPr>
        <w:pStyle w:val="16"/>
        <w:spacing w:before="0" w:after="0" w:line="360" w:lineRule="auto"/>
      </w:pPr>
      <w:r>
        <w:rPr>
          <w:rFonts w:ascii="Times New Roman" w:hAnsi="Times New Roman" w:eastAsia="宋体"/>
          <w:b w:val="0"/>
          <w:color w:val="000000"/>
          <w:sz w:val="24"/>
        </w:rPr>
        <w:t>较Ⅰ级推荐更高的随访频率；</w:t>
      </w:r>
    </w:p>
    <w:p w14:paraId="309C6FD1">
      <w:pPr>
        <w:pStyle w:val="16"/>
        <w:spacing w:before="0" w:after="0" w:line="360" w:lineRule="auto"/>
      </w:pPr>
      <w:r>
        <w:rPr>
          <w:rFonts w:ascii="Times New Roman" w:hAnsi="Times New Roman" w:eastAsia="宋体"/>
          <w:b w:val="0"/>
          <w:color w:val="000000"/>
          <w:sz w:val="24"/>
        </w:rPr>
        <w:t>胸腹盆腔增强CT；</w:t>
      </w:r>
    </w:p>
    <w:p w14:paraId="3850CD28">
      <w:pPr>
        <w:pStyle w:val="16"/>
        <w:spacing w:before="0" w:after="0" w:line="360" w:lineRule="auto"/>
      </w:pPr>
      <w:r>
        <w:rPr>
          <w:rFonts w:ascii="Times New Roman" w:hAnsi="Times New Roman" w:eastAsia="宋体"/>
          <w:b w:val="0"/>
          <w:color w:val="000000"/>
          <w:sz w:val="24"/>
        </w:rPr>
        <w:t>曾经升高过的标志物；</w:t>
      </w:r>
    </w:p>
    <w:p w14:paraId="5846ED86">
      <w:pPr>
        <w:pStyle w:val="16"/>
        <w:spacing w:before="0" w:after="0" w:line="360" w:lineRule="auto"/>
      </w:pPr>
      <w:r>
        <w:rPr>
          <w:rFonts w:ascii="Times New Roman" w:hAnsi="Times New Roman" w:eastAsia="宋体"/>
          <w:b w:val="0"/>
          <w:color w:val="000000"/>
          <w:sz w:val="24"/>
        </w:rPr>
        <w:t>更频密的结肠镜检查；</w:t>
      </w:r>
    </w:p>
    <w:p w14:paraId="033D3181">
      <w:pPr>
        <w:pStyle w:val="16"/>
        <w:spacing w:before="0" w:after="0" w:line="360" w:lineRule="auto"/>
      </w:pPr>
      <w:r>
        <w:rPr>
          <w:rFonts w:ascii="Times New Roman" w:hAnsi="Times New Roman" w:eastAsia="宋体"/>
          <w:b w:val="0"/>
          <w:color w:val="000000"/>
          <w:sz w:val="24"/>
        </w:rPr>
        <w:t>肝脏超声造影；</w:t>
      </w:r>
    </w:p>
    <w:p w14:paraId="67F99D46">
      <w:pPr>
        <w:pStyle w:val="16"/>
        <w:spacing w:before="0" w:after="0" w:line="360" w:lineRule="auto"/>
      </w:pPr>
      <w:r>
        <w:rPr>
          <w:rFonts w:ascii="Times New Roman" w:hAnsi="Times New Roman" w:eastAsia="宋体"/>
          <w:b w:val="0"/>
          <w:color w:val="000000"/>
          <w:sz w:val="24"/>
        </w:rPr>
        <w:t>PET/CT；</w:t>
      </w:r>
    </w:p>
    <w:p w14:paraId="5ED1AF87">
      <w:pPr>
        <w:pStyle w:val="16"/>
        <w:spacing w:before="0" w:after="0" w:line="360" w:lineRule="auto"/>
      </w:pPr>
      <w:r>
        <w:rPr>
          <w:rFonts w:ascii="Times New Roman" w:hAnsi="Times New Roman" w:eastAsia="宋体"/>
          <w:b w:val="0"/>
          <w:color w:val="000000"/>
          <w:sz w:val="24"/>
        </w:rPr>
        <w:t>ctDNA/MRD。</w:t>
      </w:r>
    </w:p>
    <w:p w14:paraId="0F46F44A">
      <w:pPr>
        <w:spacing w:before="0" w:after="0" w:line="360" w:lineRule="auto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遗传筛查：</w:t>
      </w:r>
    </w:p>
    <w:p w14:paraId="37A7DFBB">
      <w:pPr>
        <w:pStyle w:val="16"/>
        <w:spacing w:before="0" w:after="0" w:line="360" w:lineRule="auto"/>
      </w:pPr>
      <w:r>
        <w:rPr>
          <w:rFonts w:ascii="Times New Roman" w:hAnsi="Times New Roman" w:eastAsia="宋体"/>
          <w:b w:val="0"/>
          <w:color w:val="000000"/>
          <w:sz w:val="24"/>
        </w:rPr>
        <w:t>dMMR/MSI-H人群需进一步行BRAF V600E检测，若BRAF V600E阴性，需进行林奇综合征相关基因的胚系检测。</w:t>
      </w:r>
    </w:p>
    <w:p w14:paraId="22DDD547">
      <w:pPr>
        <w:pStyle w:val="16"/>
        <w:spacing w:before="0" w:after="0" w:line="360" w:lineRule="auto"/>
      </w:pPr>
      <w:r>
        <w:rPr>
          <w:rFonts w:ascii="Times New Roman" w:hAnsi="Times New Roman" w:eastAsia="宋体"/>
          <w:b w:val="0"/>
          <w:color w:val="000000"/>
          <w:sz w:val="24"/>
        </w:rPr>
        <w:t>所有结直肠癌患者应询问其肿瘤家族史并明确肠道息肉情况；符合FAP、PJ综合征、Lynch综合征筛查标准者进入相应筛查流程。</w:t>
      </w:r>
    </w:p>
    <w:p w14:paraId="54767529">
      <w:pPr>
        <w:pStyle w:val="3"/>
        <w:keepNext/>
        <w:spacing w:before="280" w:after="120" w:line="360" w:lineRule="auto"/>
      </w:pPr>
      <w:bookmarkStart w:id="20" w:name="_LarkToc00021"/>
      <w:r>
        <w:rPr>
          <w:rFonts w:ascii="Times New Roman" w:hAnsi="Times New Roman" w:eastAsia="黑体"/>
          <w:b/>
          <w:color w:val="000000"/>
          <w:sz w:val="32"/>
        </w:rPr>
        <w:t>八、梗阻场景下的病历书写与医保注意事项</w:t>
      </w:r>
      <w:bookmarkEnd w:id="20"/>
    </w:p>
    <w:p w14:paraId="00C31E7B">
      <w:pPr>
        <w:pStyle w:val="16"/>
        <w:spacing w:before="0" w:after="0" w:line="360" w:lineRule="auto"/>
      </w:pPr>
      <w:r>
        <w:rPr>
          <w:rFonts w:ascii="Times New Roman" w:hAnsi="Times New Roman" w:eastAsia="宋体"/>
          <w:b/>
          <w:color w:val="000000"/>
          <w:sz w:val="24"/>
        </w:rPr>
        <w:t>入院诊断必须体现梗阻</w:t>
      </w:r>
      <w:r>
        <w:rPr>
          <w:rFonts w:ascii="Times New Roman" w:hAnsi="Times New Roman" w:eastAsia="宋体"/>
          <w:b w:val="0"/>
          <w:color w:val="000000"/>
          <w:sz w:val="24"/>
        </w:rPr>
        <w:t>：入院记录应写“结肠占位性病变：结肠癌待排；不完全性肠梗阻”，首次病程记录需体现梗阻处理的必要性（禁食、减压、补液、生长抑素等）。</w:t>
      </w:r>
    </w:p>
    <w:p w14:paraId="3FD873FA">
      <w:pPr>
        <w:pStyle w:val="16"/>
        <w:spacing w:before="0" w:after="0" w:line="360" w:lineRule="auto"/>
      </w:pPr>
      <w:r>
        <w:rPr>
          <w:rFonts w:ascii="Times New Roman" w:hAnsi="Times New Roman" w:eastAsia="宋体"/>
          <w:b/>
          <w:color w:val="000000"/>
          <w:sz w:val="24"/>
        </w:rPr>
        <w:t>梗阻处理与肿瘤诊疗的衔接需在病程中记录</w:t>
      </w:r>
      <w:r>
        <w:rPr>
          <w:rFonts w:ascii="Times New Roman" w:hAnsi="Times New Roman" w:eastAsia="宋体"/>
          <w:b w:val="0"/>
          <w:color w:val="000000"/>
          <w:sz w:val="24"/>
        </w:rPr>
        <w:t>：应记录梗阻缓解的时间节点和依据（排气排便恢复、腹部体征改善、CT复查结果），以及梗阻缓解后转入围手术期决策的过程。这是医保审核中证明“住院诊疗必要性”的关键链条。</w:t>
      </w:r>
    </w:p>
    <w:p w14:paraId="1079B554">
      <w:pPr>
        <w:pStyle w:val="16"/>
        <w:spacing w:before="0" w:after="0" w:line="360" w:lineRule="auto"/>
      </w:pPr>
      <w:r>
        <w:rPr>
          <w:rFonts w:ascii="Times New Roman" w:hAnsi="Times New Roman" w:eastAsia="宋体"/>
          <w:b/>
          <w:color w:val="000000"/>
          <w:sz w:val="24"/>
        </w:rPr>
        <w:t>分子检测须前置</w:t>
      </w:r>
      <w:r>
        <w:rPr>
          <w:rFonts w:ascii="Times New Roman" w:hAnsi="Times New Roman" w:eastAsia="宋体"/>
          <w:b w:val="0"/>
          <w:color w:val="000000"/>
          <w:sz w:val="24"/>
        </w:rPr>
        <w:t>：MMR/MSI检测结果应在制定围手术期方案前获得并记录在病历中，避免“先手术后检测”的流程倒置。</w:t>
      </w:r>
    </w:p>
    <w:p w14:paraId="0E6DA92B">
      <w:pPr>
        <w:pStyle w:val="16"/>
        <w:spacing w:before="0" w:after="0" w:line="360" w:lineRule="auto"/>
      </w:pPr>
      <w:r>
        <w:rPr>
          <w:rFonts w:ascii="Times New Roman" w:hAnsi="Times New Roman" w:eastAsia="宋体"/>
          <w:b/>
          <w:color w:val="000000"/>
          <w:sz w:val="24"/>
        </w:rPr>
        <w:t>若使用SEMS</w:t>
      </w:r>
      <w:r>
        <w:rPr>
          <w:rFonts w:ascii="Times New Roman" w:hAnsi="Times New Roman" w:eastAsia="宋体"/>
          <w:b w:val="0"/>
          <w:color w:val="000000"/>
          <w:sz w:val="24"/>
        </w:rPr>
        <w:t>：需在病程中记录支架置入的指征、术后梗阻缓解情况、计划手术间隔及依据。</w:t>
      </w:r>
    </w:p>
    <w:p w14:paraId="0F6D2FAC">
      <w:pPr>
        <w:pStyle w:val="16"/>
        <w:spacing w:before="0" w:after="0" w:line="360" w:lineRule="auto"/>
      </w:pPr>
      <w:r>
        <w:rPr>
          <w:rFonts w:ascii="Times New Roman" w:hAnsi="Times New Roman" w:eastAsia="宋体"/>
          <w:b/>
          <w:color w:val="000000"/>
          <w:sz w:val="24"/>
        </w:rPr>
        <w:t>若最终排除结肠癌</w:t>
      </w:r>
      <w:r>
        <w:rPr>
          <w:rFonts w:ascii="Times New Roman" w:hAnsi="Times New Roman" w:eastAsia="宋体"/>
          <w:b w:val="0"/>
          <w:color w:val="000000"/>
          <w:sz w:val="24"/>
        </w:rPr>
        <w:t>：按实际诊断出院，不能强行按结肠癌处理。</w:t>
      </w:r>
    </w:p>
    <w:p w14:paraId="30378E28">
      <w:pPr>
        <w:pStyle w:val="16"/>
        <w:spacing w:before="0" w:after="0" w:line="360" w:lineRule="auto"/>
      </w:pPr>
      <w:r>
        <w:rPr>
          <w:rFonts w:ascii="Times New Roman" w:hAnsi="Times New Roman" w:eastAsia="宋体"/>
          <w:b/>
          <w:color w:val="000000"/>
          <w:sz w:val="24"/>
        </w:rPr>
        <w:t>急诊手术时</w:t>
      </w:r>
      <w:r>
        <w:rPr>
          <w:rFonts w:ascii="Times New Roman" w:hAnsi="Times New Roman" w:eastAsia="宋体"/>
          <w:b w:val="0"/>
          <w:color w:val="000000"/>
          <w:sz w:val="24"/>
        </w:rPr>
        <w:t>：若未检测MMR/MSI，术后应尽快补测，以指导辅助治疗决策。</w:t>
      </w:r>
    </w:p>
    <w:p w14:paraId="700209B1">
      <w:pPr>
        <w:pStyle w:val="3"/>
        <w:keepNext/>
        <w:spacing w:before="280" w:after="120" w:line="360" w:lineRule="auto"/>
      </w:pPr>
      <w:bookmarkStart w:id="21" w:name="_LarkToc00022"/>
      <w:r>
        <w:rPr>
          <w:rFonts w:ascii="Times New Roman" w:hAnsi="Times New Roman" w:eastAsia="黑体"/>
          <w:b/>
          <w:color w:val="000000"/>
          <w:sz w:val="32"/>
        </w:rPr>
        <w:t>九、与非梗阻结肠癌流程的核心差异总结</w:t>
      </w:r>
      <w:bookmarkEnd w:id="21"/>
    </w:p>
    <w:p w14:paraId="50BAEA45">
      <w:pPr>
        <w:keepNext/>
        <w:spacing w:before="80" w:after="80" w:line="240" w:lineRule="auto"/>
        <w:jc w:val="center"/>
      </w:pPr>
      <w:r>
        <w:rPr>
          <w:rFonts w:ascii="Times New Roman" w:hAnsi="Times New Roman" w:eastAsia="宋体"/>
          <w:b w:val="0"/>
          <w:color w:val="000000"/>
          <w:sz w:val="21"/>
        </w:rPr>
        <w:t>表1  与非梗阻结肠癌流程的核心差异</w:t>
      </w:r>
    </w:p>
    <w:tbl>
      <w:tblPr>
        <w:tblStyle w:val="34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60" w:type="dxa"/>
          <w:left w:w="108" w:type="dxa"/>
          <w:bottom w:w="60" w:type="dxa"/>
          <w:right w:w="108" w:type="dxa"/>
        </w:tblCellMar>
      </w:tblPr>
      <w:tblGrid>
        <w:gridCol w:w="3024"/>
        <w:gridCol w:w="3024"/>
        <w:gridCol w:w="3024"/>
      </w:tblGrid>
      <w:tr w14:paraId="3499AC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108" w:type="dxa"/>
            <w:bottom w:w="6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1928" w:type="dxa"/>
            <w:shd w:val="clear" w:color="auto" w:fill="D9D9D9"/>
            <w:vAlign w:val="center"/>
          </w:tcPr>
          <w:p w14:paraId="081F208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环节</w:t>
            </w:r>
          </w:p>
        </w:tc>
        <w:tc>
          <w:tcPr>
            <w:tcW w:w="2835" w:type="dxa"/>
            <w:shd w:val="clear" w:color="auto" w:fill="D9D9D9"/>
            <w:vAlign w:val="center"/>
          </w:tcPr>
          <w:p w14:paraId="237FC31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无梗阻结肠癌</w:t>
            </w:r>
          </w:p>
        </w:tc>
        <w:tc>
          <w:tcPr>
            <w:tcW w:w="4309" w:type="dxa"/>
            <w:shd w:val="clear" w:color="auto" w:fill="D9D9D9"/>
            <w:vAlign w:val="center"/>
          </w:tcPr>
          <w:p w14:paraId="6C1B213F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合并不完全性肠梗阻的结肠癌</w:t>
            </w:r>
          </w:p>
        </w:tc>
      </w:tr>
      <w:tr w14:paraId="38E551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108" w:type="dxa"/>
            <w:bottom w:w="60" w:type="dxa"/>
            <w:right w:w="108" w:type="dxa"/>
          </w:tblCellMar>
        </w:tblPrEx>
        <w:trPr>
          <w:cantSplit/>
          <w:jc w:val="center"/>
        </w:trPr>
        <w:tc>
          <w:tcPr>
            <w:tcW w:w="1928" w:type="dxa"/>
            <w:vAlign w:val="center"/>
          </w:tcPr>
          <w:p w14:paraId="7F374B0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入院首要任务</w:t>
            </w:r>
          </w:p>
        </w:tc>
        <w:tc>
          <w:tcPr>
            <w:tcW w:w="2835" w:type="dxa"/>
            <w:vAlign w:val="center"/>
          </w:tcPr>
          <w:p w14:paraId="2492FFDD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追踪病理、完善分期</w:t>
            </w:r>
          </w:p>
        </w:tc>
        <w:tc>
          <w:tcPr>
            <w:tcW w:w="4309" w:type="dxa"/>
            <w:vAlign w:val="center"/>
          </w:tcPr>
          <w:p w14:paraId="43C4C474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先处理梗阻，同步追踪病理和分子检测</w:t>
            </w:r>
          </w:p>
        </w:tc>
      </w:tr>
      <w:tr w14:paraId="099121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108" w:type="dxa"/>
            <w:bottom w:w="60" w:type="dxa"/>
            <w:right w:w="108" w:type="dxa"/>
          </w:tblCellMar>
        </w:tblPrEx>
        <w:trPr>
          <w:cantSplit/>
          <w:jc w:val="center"/>
        </w:trPr>
        <w:tc>
          <w:tcPr>
            <w:tcW w:w="1928" w:type="dxa"/>
            <w:vAlign w:val="center"/>
          </w:tcPr>
          <w:p w14:paraId="5BBBBE05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治疗决策前提</w:t>
            </w:r>
          </w:p>
        </w:tc>
        <w:tc>
          <w:tcPr>
            <w:tcW w:w="2835" w:type="dxa"/>
            <w:vAlign w:val="center"/>
          </w:tcPr>
          <w:p w14:paraId="4725F2AA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确诊后直接进入围手术期决策</w:t>
            </w:r>
          </w:p>
        </w:tc>
        <w:tc>
          <w:tcPr>
            <w:tcW w:w="4309" w:type="dxa"/>
            <w:vAlign w:val="center"/>
          </w:tcPr>
          <w:p w14:paraId="389312C4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需先评估梗阻能否缓解，能否转为“无须急诊处理”状态</w:t>
            </w:r>
          </w:p>
        </w:tc>
      </w:tr>
      <w:tr w14:paraId="1A3E5C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108" w:type="dxa"/>
            <w:bottom w:w="60" w:type="dxa"/>
            <w:right w:w="108" w:type="dxa"/>
          </w:tblCellMar>
        </w:tblPrEx>
        <w:trPr>
          <w:cantSplit/>
          <w:jc w:val="center"/>
        </w:trPr>
        <w:tc>
          <w:tcPr>
            <w:tcW w:w="1928" w:type="dxa"/>
            <w:vAlign w:val="center"/>
          </w:tcPr>
          <w:p w14:paraId="648C6525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MSI-H/dMMR新辅助免疫</w:t>
            </w:r>
          </w:p>
        </w:tc>
        <w:tc>
          <w:tcPr>
            <w:tcW w:w="2835" w:type="dxa"/>
            <w:vAlign w:val="center"/>
          </w:tcPr>
          <w:p w14:paraId="51A40B07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直接按CSCO 2026版Ⅰ级推荐执行</w:t>
            </w:r>
          </w:p>
        </w:tc>
        <w:tc>
          <w:tcPr>
            <w:tcW w:w="4309" w:type="dxa"/>
            <w:vAlign w:val="center"/>
          </w:tcPr>
          <w:p w14:paraId="0008E162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仅在梗阻缓解、达到“无须急诊处理”条件后方可启动</w:t>
            </w:r>
          </w:p>
        </w:tc>
      </w:tr>
      <w:tr w14:paraId="561CEF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108" w:type="dxa"/>
            <w:bottom w:w="60" w:type="dxa"/>
            <w:right w:w="108" w:type="dxa"/>
          </w:tblCellMar>
        </w:tblPrEx>
        <w:trPr>
          <w:cantSplit/>
          <w:jc w:val="center"/>
        </w:trPr>
        <w:tc>
          <w:tcPr>
            <w:tcW w:w="1928" w:type="dxa"/>
            <w:vAlign w:val="center"/>
          </w:tcPr>
          <w:p w14:paraId="43D77B74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MSS/pMMR cT4b</w:t>
            </w:r>
          </w:p>
        </w:tc>
        <w:tc>
          <w:tcPr>
            <w:tcW w:w="2835" w:type="dxa"/>
            <w:vAlign w:val="center"/>
          </w:tcPr>
          <w:p w14:paraId="4BEF8FD2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Ⅰ级推荐先行2—3个月新辅助化疗，然后根治性手术</w:t>
            </w:r>
          </w:p>
        </w:tc>
        <w:tc>
          <w:tcPr>
            <w:tcW w:w="4309" w:type="dxa"/>
            <w:vAlign w:val="center"/>
          </w:tcPr>
          <w:p w14:paraId="773EB9A0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同上，但需在梗阻完全缓解、肠道功能恢复后启动，治疗期间密切监测</w:t>
            </w:r>
          </w:p>
        </w:tc>
      </w:tr>
      <w:tr w14:paraId="3E607B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108" w:type="dxa"/>
            <w:bottom w:w="60" w:type="dxa"/>
            <w:right w:w="108" w:type="dxa"/>
          </w:tblCellMar>
        </w:tblPrEx>
        <w:trPr>
          <w:cantSplit/>
          <w:jc w:val="center"/>
        </w:trPr>
        <w:tc>
          <w:tcPr>
            <w:tcW w:w="1928" w:type="dxa"/>
            <w:vAlign w:val="center"/>
          </w:tcPr>
          <w:p w14:paraId="53BFFAAE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左半结肠特殊路径</w:t>
            </w:r>
          </w:p>
        </w:tc>
        <w:tc>
          <w:tcPr>
            <w:tcW w:w="2835" w:type="dxa"/>
            <w:vAlign w:val="center"/>
          </w:tcPr>
          <w:p w14:paraId="30F5C3F2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无特殊</w:t>
            </w:r>
          </w:p>
        </w:tc>
        <w:tc>
          <w:tcPr>
            <w:tcW w:w="4309" w:type="dxa"/>
            <w:vAlign w:val="center"/>
          </w:tcPr>
          <w:p w14:paraId="30EBDCD9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可考虑SEMS桥接，支架后约2周手术</w:t>
            </w:r>
          </w:p>
        </w:tc>
      </w:tr>
      <w:tr w14:paraId="04BFB8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108" w:type="dxa"/>
            <w:bottom w:w="60" w:type="dxa"/>
            <w:right w:w="108" w:type="dxa"/>
          </w:tblCellMar>
        </w:tblPrEx>
        <w:trPr>
          <w:cantSplit/>
          <w:jc w:val="center"/>
        </w:trPr>
        <w:tc>
          <w:tcPr>
            <w:tcW w:w="1928" w:type="dxa"/>
            <w:vAlign w:val="center"/>
          </w:tcPr>
          <w:p w14:paraId="256E0D14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急诊手术阈值</w:t>
            </w:r>
          </w:p>
        </w:tc>
        <w:tc>
          <w:tcPr>
            <w:tcW w:w="2835" w:type="dxa"/>
            <w:vAlign w:val="center"/>
          </w:tcPr>
          <w:p w14:paraId="41697703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低</w:t>
            </w:r>
          </w:p>
        </w:tc>
        <w:tc>
          <w:tcPr>
            <w:tcW w:w="4309" w:type="dxa"/>
            <w:vAlign w:val="center"/>
          </w:tcPr>
          <w:p w14:paraId="2382BAFE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高，但需严密监测，随时可能转为急诊；梗阻者不建议腹腔镜手术</w:t>
            </w:r>
          </w:p>
        </w:tc>
      </w:tr>
      <w:tr w14:paraId="05DDA7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108" w:type="dxa"/>
            <w:bottom w:w="60" w:type="dxa"/>
            <w:right w:w="108" w:type="dxa"/>
          </w:tblCellMar>
        </w:tblPrEx>
        <w:trPr>
          <w:cantSplit/>
          <w:jc w:val="center"/>
        </w:trPr>
        <w:tc>
          <w:tcPr>
            <w:tcW w:w="1928" w:type="dxa"/>
            <w:vAlign w:val="center"/>
          </w:tcPr>
          <w:p w14:paraId="1F8D2877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住院时间</w:t>
            </w:r>
          </w:p>
        </w:tc>
        <w:tc>
          <w:tcPr>
            <w:tcW w:w="2835" w:type="dxa"/>
            <w:vAlign w:val="center"/>
          </w:tcPr>
          <w:p w14:paraId="4D2B13DE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11—18天</w:t>
            </w:r>
          </w:p>
        </w:tc>
        <w:tc>
          <w:tcPr>
            <w:tcW w:w="4309" w:type="dxa"/>
            <w:vAlign w:val="center"/>
          </w:tcPr>
          <w:p w14:paraId="650D8271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延长，取决于梗阻处理时间和支架桥接周期</w:t>
            </w:r>
          </w:p>
        </w:tc>
      </w:tr>
      <w:tr w14:paraId="41458E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108" w:type="dxa"/>
            <w:bottom w:w="60" w:type="dxa"/>
            <w:right w:w="108" w:type="dxa"/>
          </w:tblCellMar>
        </w:tblPrEx>
        <w:trPr>
          <w:cantSplit/>
          <w:jc w:val="center"/>
        </w:trPr>
        <w:tc>
          <w:tcPr>
            <w:tcW w:w="1928" w:type="dxa"/>
            <w:vAlign w:val="center"/>
          </w:tcPr>
          <w:p w14:paraId="3D70DF9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术后辅助化疗</w:t>
            </w:r>
          </w:p>
        </w:tc>
        <w:tc>
          <w:tcPr>
            <w:tcW w:w="2835" w:type="dxa"/>
            <w:vAlign w:val="center"/>
          </w:tcPr>
          <w:p w14:paraId="536A15B1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Ⅰ期观察；Ⅱ期低危/普危/高危分层；Ⅲ期联合/单药；Ⅲ期dMMR加FOLFOX+阿替利珠单抗（Ⅲ级）</w:t>
            </w:r>
          </w:p>
        </w:tc>
        <w:tc>
          <w:tcPr>
            <w:tcW w:w="4309" w:type="dxa"/>
            <w:vAlign w:val="center"/>
          </w:tcPr>
          <w:p w14:paraId="39929D34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同无梗阻结肠癌，但急诊手术未检测MMR/MSI者术后尽快补测</w:t>
            </w:r>
          </w:p>
        </w:tc>
      </w:tr>
      <w:tr w14:paraId="0800AD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108" w:type="dxa"/>
            <w:bottom w:w="60" w:type="dxa"/>
            <w:right w:w="108" w:type="dxa"/>
          </w:tblCellMar>
        </w:tblPrEx>
        <w:trPr>
          <w:cantSplit/>
          <w:jc w:val="center"/>
        </w:trPr>
        <w:tc>
          <w:tcPr>
            <w:tcW w:w="1928" w:type="dxa"/>
            <w:vAlign w:val="center"/>
          </w:tcPr>
          <w:p w14:paraId="401497C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随访</w:t>
            </w:r>
          </w:p>
        </w:tc>
        <w:tc>
          <w:tcPr>
            <w:tcW w:w="2835" w:type="dxa"/>
            <w:vAlign w:val="center"/>
          </w:tcPr>
          <w:p w14:paraId="26E2D65B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Ⅰ期每6个月共5年；Ⅱ—Ⅲ期前3年每3个月，后至5年每6个月，5年后每年</w:t>
            </w:r>
          </w:p>
        </w:tc>
        <w:tc>
          <w:tcPr>
            <w:tcW w:w="4309" w:type="dxa"/>
            <w:vAlign w:val="center"/>
          </w:tcPr>
          <w:p w14:paraId="3B51264B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同无梗阻结肠癌；若术前梗阻未全结肠镜，术后3—6个月复查结肠镜</w:t>
            </w:r>
          </w:p>
        </w:tc>
      </w:tr>
    </w:tbl>
    <w:p w14:paraId="5D85BE00">
      <w:pPr>
        <w:spacing w:before="0" w:after="0" w:line="360" w:lineRule="auto"/>
        <w:ind w:firstLine="482" w:firstLineChars="200"/>
        <w:jc w:val="both"/>
        <w:rPr>
          <w:rFonts w:ascii="Times New Roman" w:hAnsi="Times New Roman" w:eastAsia="宋体"/>
          <w:b/>
          <w:color w:val="000000"/>
          <w:sz w:val="24"/>
        </w:rPr>
      </w:pPr>
    </w:p>
    <w:p w14:paraId="0703B69F">
      <w:pPr>
        <w:spacing w:before="0" w:after="0" w:line="360" w:lineRule="auto"/>
        <w:ind w:firstLine="482" w:firstLineChars="200"/>
        <w:jc w:val="both"/>
        <w:rPr>
          <w:b/>
          <w:bCs/>
        </w:rPr>
      </w:pPr>
      <w:r>
        <w:rPr>
          <w:rFonts w:ascii="Times New Roman" w:hAnsi="Times New Roman" w:eastAsia="宋体"/>
          <w:b/>
          <w:color w:val="000000"/>
          <w:sz w:val="24"/>
        </w:rPr>
        <w:t>整体流程可概括为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bCs/>
          <w:color w:val="000000"/>
          <w:sz w:val="24"/>
        </w:rPr>
        <w:t>门诊发现结肠癌合并不完全性肠梗阻→收住院→禁食减压、生长抑素、抗感染等非手术处理→同步追踪病理和启动MMR/MSI检测→梗阻缓解则按CSCO 2026版“分期—分子—临床”三维体系制定围手术期方案（MSI-H/dMMR cT4/N+先行新辅助双免疫再手术；MSS/pMMR cT4b先行新辅助化疗再手术；其余以手术为主）→左半结肠可考虑SEMS桥接→梗阻不缓解则急诊手术→术后按分子分型分层辅助治疗→出院随访。</w:t>
      </w:r>
    </w:p>
    <w:sectPr>
      <w:footerReference r:id="rId5" w:type="default"/>
      <w:pgSz w:w="11906" w:h="16838"/>
      <w:pgMar w:top="1417" w:right="1417" w:bottom="1417" w:left="1417" w:header="720" w:footer="720" w:gutter="0"/>
      <w:pgNumType w:fmt="decimal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9FFEE0">
    <w:pPr>
      <w:pStyle w:val="24"/>
    </w:pPr>
    <w:r>
      <w:rPr>
        <w:sz w:val="22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F5A2257">
                          <w:pPr>
                            <w:pStyle w:val="2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fyKa9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F5A2257">
                    <w:pPr>
                      <w:pStyle w:val="2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sz w:val="22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C7E24E0">
                          <w:pPr>
                            <w:pStyle w:val="24"/>
                            <w:rPr>
                              <w:rFonts w:hint="eastAsia" w:eastAsiaTheme="minorEastAsia"/>
                              <w:lang w:val="en-US" w:eastAsia="zh-CN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C7E24E0">
                    <w:pPr>
                      <w:pStyle w:val="24"/>
                      <w:rPr>
                        <w:rFonts w:hint="eastAsia" w:eastAsiaTheme="minorEastAsia"/>
                        <w:lang w:val="en-US" w:eastAsia="zh-CN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OfficeWordTocPaginationV1" w:val="v5:4cfe27405682a6f76ec3d34ef672a16e87e9f26a1388d196f1446db167902b62:2df890dc2ceb86f5246f08604db7029c3c542eccaabc7da1953e16e4ed9723d7:c544ecd95cafa55ccd76d8afdebe43789a0039c1e6369e1fb244d9126612c6c5"/>
  </w:docVars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6C133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qFormat="1"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qFormat="1"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qFormat="1"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qFormat="1"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qFormat="1"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40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41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2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7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4">
    <w:name w:val="Default Paragraph Font"/>
    <w:semiHidden/>
    <w:unhideWhenUsed/>
    <w:uiPriority w:val="1"/>
  </w:style>
  <w:style w:type="table" w:default="1" w:styleId="3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9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8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6"/>
    <w:unhideWhenUsed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8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7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toc 1"/>
    <w:basedOn w:val="1"/>
    <w:next w:val="1"/>
    <w:semiHidden/>
    <w:unhideWhenUsed/>
    <w:uiPriority w:val="39"/>
    <w:pPr>
      <w:spacing w:line="240" w:lineRule="auto"/>
      <w:ind w:firstLine="0" w:firstLineChars="0"/>
    </w:pPr>
  </w:style>
  <w:style w:type="paragraph" w:styleId="27">
    <w:name w:val="Subtitle"/>
    <w:basedOn w:val="1"/>
    <w:next w:val="1"/>
    <w:link w:val="144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8">
    <w:name w:val="List"/>
    <w:basedOn w:val="1"/>
    <w:unhideWhenUsed/>
    <w:uiPriority w:val="99"/>
    <w:pPr>
      <w:ind w:left="360" w:hanging="360"/>
      <w:contextualSpacing/>
    </w:pPr>
  </w:style>
  <w:style w:type="paragraph" w:styleId="29">
    <w:name w:val="toc 2"/>
    <w:basedOn w:val="1"/>
    <w:next w:val="1"/>
    <w:semiHidden/>
    <w:unhideWhenUsed/>
    <w:uiPriority w:val="39"/>
    <w:pPr>
      <w:spacing w:line="240" w:lineRule="auto"/>
      <w:ind w:left="420" w:leftChars="200" w:firstLine="0" w:firstLineChars="0"/>
    </w:pPr>
  </w:style>
  <w:style w:type="paragraph" w:styleId="30">
    <w:name w:val="Body Text 2"/>
    <w:basedOn w:val="1"/>
    <w:link w:val="147"/>
    <w:unhideWhenUsed/>
    <w:uiPriority w:val="99"/>
    <w:pPr>
      <w:spacing w:after="120" w:line="480" w:lineRule="auto"/>
    </w:pPr>
  </w:style>
  <w:style w:type="paragraph" w:styleId="31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2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3">
    <w:name w:val="Title"/>
    <w:basedOn w:val="1"/>
    <w:next w:val="1"/>
    <w:link w:val="143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5">
    <w:name w:val="Table Grid"/>
    <w:basedOn w:val="34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6">
    <w:name w:val="Light Shading"/>
    <w:basedOn w:val="34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7">
    <w:name w:val="Light Shading Accent 1"/>
    <w:basedOn w:val="34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8">
    <w:name w:val="Light Shading Accent 2"/>
    <w:basedOn w:val="34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9">
    <w:name w:val="Light Shading Accent 3"/>
    <w:basedOn w:val="34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0">
    <w:name w:val="Light Shading Accent 4"/>
    <w:basedOn w:val="34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1">
    <w:name w:val="Light Shading Accent 5"/>
    <w:basedOn w:val="34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2">
    <w:name w:val="Light Shading Accent 6"/>
    <w:basedOn w:val="34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3">
    <w:name w:val="Light List"/>
    <w:basedOn w:val="34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4">
    <w:name w:val="Light List Accent 1"/>
    <w:basedOn w:val="34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5">
    <w:name w:val="Light List Accent 2"/>
    <w:basedOn w:val="34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6">
    <w:name w:val="Light List Accent 3"/>
    <w:basedOn w:val="34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7">
    <w:name w:val="Light List Accent 4"/>
    <w:basedOn w:val="34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8">
    <w:name w:val="Light List Accent 5"/>
    <w:basedOn w:val="34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9">
    <w:name w:val="Light List Accent 6"/>
    <w:basedOn w:val="34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50">
    <w:name w:val="Light Grid"/>
    <w:basedOn w:val="34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1">
    <w:name w:val="Light Grid Accent 1"/>
    <w:basedOn w:val="34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2">
    <w:name w:val="Light Grid Accent 2"/>
    <w:basedOn w:val="34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3">
    <w:name w:val="Light Grid Accent 3"/>
    <w:basedOn w:val="34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4">
    <w:name w:val="Light Grid Accent 4"/>
    <w:basedOn w:val="34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5">
    <w:name w:val="Light Grid Accent 5"/>
    <w:basedOn w:val="34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6">
    <w:name w:val="Light Grid Accent 6"/>
    <w:basedOn w:val="34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7">
    <w:name w:val="Medium Shading 1"/>
    <w:basedOn w:val="34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1"/>
    <w:basedOn w:val="34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2"/>
    <w:basedOn w:val="34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3"/>
    <w:basedOn w:val="34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4"/>
    <w:basedOn w:val="34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5"/>
    <w:basedOn w:val="34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1 Accent 6"/>
    <w:basedOn w:val="34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4">
    <w:name w:val="Medium Shading 2"/>
    <w:basedOn w:val="34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1"/>
    <w:basedOn w:val="34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2"/>
    <w:basedOn w:val="34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3"/>
    <w:basedOn w:val="34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4"/>
    <w:basedOn w:val="34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5"/>
    <w:basedOn w:val="34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Shading 2 Accent 6"/>
    <w:basedOn w:val="34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1">
    <w:name w:val="Medium List 1"/>
    <w:basedOn w:val="34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2">
    <w:name w:val="Medium List 1 Accent 1"/>
    <w:basedOn w:val="34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3">
    <w:name w:val="Medium List 1 Accent 2"/>
    <w:basedOn w:val="34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4">
    <w:name w:val="Medium List 1 Accent 3"/>
    <w:basedOn w:val="34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5">
    <w:name w:val="Medium List 1 Accent 4"/>
    <w:basedOn w:val="34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6">
    <w:name w:val="Medium List 1 Accent 5"/>
    <w:basedOn w:val="34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7">
    <w:name w:val="Medium List 1 Accent 6"/>
    <w:basedOn w:val="34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8">
    <w:name w:val="Medium List 2"/>
    <w:basedOn w:val="34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1"/>
    <w:basedOn w:val="34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2"/>
    <w:basedOn w:val="34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3"/>
    <w:basedOn w:val="34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4"/>
    <w:basedOn w:val="34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5"/>
    <w:basedOn w:val="34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List 2 Accent 6"/>
    <w:basedOn w:val="34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5">
    <w:name w:val="Medium Grid 1"/>
    <w:basedOn w:val="34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6">
    <w:name w:val="Medium Grid 1 Accent 1"/>
    <w:basedOn w:val="34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7">
    <w:name w:val="Medium Grid 1 Accent 2"/>
    <w:basedOn w:val="34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8">
    <w:name w:val="Medium Grid 1 Accent 3"/>
    <w:basedOn w:val="34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9">
    <w:name w:val="Medium Grid 1 Accent 4"/>
    <w:basedOn w:val="34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90">
    <w:name w:val="Medium Grid 1 Accent 5"/>
    <w:basedOn w:val="34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1">
    <w:name w:val="Medium Grid 1 Accent 6"/>
    <w:basedOn w:val="34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2">
    <w:name w:val="Medium Grid 2"/>
    <w:basedOn w:val="34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1"/>
    <w:basedOn w:val="34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2"/>
    <w:basedOn w:val="34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3"/>
    <w:basedOn w:val="34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4"/>
    <w:basedOn w:val="34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5"/>
    <w:basedOn w:val="34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2 Accent 6"/>
    <w:basedOn w:val="34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9">
    <w:name w:val="Medium Grid 3"/>
    <w:basedOn w:val="34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00">
    <w:name w:val="Medium Grid 3 Accent 1"/>
    <w:basedOn w:val="34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1">
    <w:name w:val="Medium Grid 3 Accent 2"/>
    <w:basedOn w:val="34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2">
    <w:name w:val="Medium Grid 3 Accent 3"/>
    <w:basedOn w:val="34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3">
    <w:name w:val="Medium Grid 3 Accent 4"/>
    <w:basedOn w:val="34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4">
    <w:name w:val="Medium Grid 3 Accent 5"/>
    <w:basedOn w:val="34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5">
    <w:name w:val="Medium Grid 3 Accent 6"/>
    <w:basedOn w:val="34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6">
    <w:name w:val="Dark List"/>
    <w:basedOn w:val="34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7">
    <w:name w:val="Dark List Accent 1"/>
    <w:basedOn w:val="34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8">
    <w:name w:val="Dark List Accent 2"/>
    <w:basedOn w:val="34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9">
    <w:name w:val="Dark List Accent 3"/>
    <w:basedOn w:val="34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0">
    <w:name w:val="Dark List Accent 4"/>
    <w:basedOn w:val="34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1">
    <w:name w:val="Dark List Accent 5"/>
    <w:basedOn w:val="34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2">
    <w:name w:val="Dark List Accent 6"/>
    <w:basedOn w:val="34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3">
    <w:name w:val="Colorful Shading"/>
    <w:basedOn w:val="34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1"/>
    <w:basedOn w:val="34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2"/>
    <w:basedOn w:val="34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3"/>
    <w:basedOn w:val="34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7">
    <w:name w:val="Colorful Shading Accent 4"/>
    <w:basedOn w:val="34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Shading Accent 5"/>
    <w:basedOn w:val="34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Shading Accent 6"/>
    <w:basedOn w:val="34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0">
    <w:name w:val="Colorful List"/>
    <w:basedOn w:val="34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1">
    <w:name w:val="Colorful List Accent 1"/>
    <w:basedOn w:val="34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2">
    <w:name w:val="Colorful List Accent 2"/>
    <w:basedOn w:val="34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3">
    <w:name w:val="Colorful List Accent 3"/>
    <w:basedOn w:val="34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4">
    <w:name w:val="Colorful List Accent 4"/>
    <w:basedOn w:val="34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5">
    <w:name w:val="Colorful List Accent 5"/>
    <w:basedOn w:val="34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6">
    <w:name w:val="Colorful List Accent 6"/>
    <w:basedOn w:val="34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7">
    <w:name w:val="Colorful Grid"/>
    <w:basedOn w:val="34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8">
    <w:name w:val="Colorful Grid Accent 1"/>
    <w:basedOn w:val="34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9">
    <w:name w:val="Colorful Grid Accent 2"/>
    <w:basedOn w:val="34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0">
    <w:name w:val="Colorful Grid Accent 3"/>
    <w:basedOn w:val="34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1">
    <w:name w:val="Colorful Grid Accent 4"/>
    <w:basedOn w:val="34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2">
    <w:name w:val="Colorful Grid Accent 5"/>
    <w:basedOn w:val="34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3">
    <w:name w:val="Colorful Grid Accent 6"/>
    <w:basedOn w:val="34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5">
    <w:name w:val="Strong"/>
    <w:basedOn w:val="134"/>
    <w:qFormat/>
    <w:uiPriority w:val="22"/>
    <w:rPr>
      <w:b/>
      <w:bCs/>
    </w:rPr>
  </w:style>
  <w:style w:type="character" w:styleId="136">
    <w:name w:val="Emphasis"/>
    <w:basedOn w:val="134"/>
    <w:qFormat/>
    <w:uiPriority w:val="20"/>
    <w:rPr>
      <w:i/>
      <w:iCs/>
    </w:rPr>
  </w:style>
  <w:style w:type="character" w:customStyle="1" w:styleId="137">
    <w:name w:val="Header Char"/>
    <w:basedOn w:val="134"/>
    <w:link w:val="25"/>
    <w:uiPriority w:val="99"/>
  </w:style>
  <w:style w:type="character" w:customStyle="1" w:styleId="138">
    <w:name w:val="Footer Char"/>
    <w:basedOn w:val="134"/>
    <w:link w:val="24"/>
    <w:uiPriority w:val="99"/>
  </w:style>
  <w:style w:type="paragraph" w:styleId="139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40">
    <w:name w:val="Heading 1 Char"/>
    <w:basedOn w:val="134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1">
    <w:name w:val="Heading 2 Char"/>
    <w:basedOn w:val="134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2">
    <w:name w:val="Heading 3 Char"/>
    <w:basedOn w:val="134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3">
    <w:name w:val="Title Char"/>
    <w:basedOn w:val="134"/>
    <w:link w:val="33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4">
    <w:name w:val="Subtitle Char"/>
    <w:basedOn w:val="134"/>
    <w:link w:val="27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5">
    <w:name w:val="List Paragraph"/>
    <w:basedOn w:val="1"/>
    <w:qFormat/>
    <w:uiPriority w:val="34"/>
    <w:pPr>
      <w:ind w:left="720"/>
      <w:contextualSpacing/>
    </w:pPr>
  </w:style>
  <w:style w:type="character" w:customStyle="1" w:styleId="146">
    <w:name w:val="Body Text Char"/>
    <w:basedOn w:val="134"/>
    <w:link w:val="19"/>
    <w:uiPriority w:val="99"/>
  </w:style>
  <w:style w:type="character" w:customStyle="1" w:styleId="147">
    <w:name w:val="Body Text 2 Char"/>
    <w:basedOn w:val="134"/>
    <w:link w:val="30"/>
    <w:uiPriority w:val="99"/>
  </w:style>
  <w:style w:type="character" w:customStyle="1" w:styleId="148">
    <w:name w:val="Body Text 3 Char"/>
    <w:basedOn w:val="134"/>
    <w:link w:val="17"/>
    <w:qFormat/>
    <w:uiPriority w:val="99"/>
    <w:rPr>
      <w:sz w:val="16"/>
      <w:szCs w:val="16"/>
    </w:rPr>
  </w:style>
  <w:style w:type="character" w:customStyle="1" w:styleId="149">
    <w:name w:val="Macro Text Char"/>
    <w:basedOn w:val="134"/>
    <w:link w:val="2"/>
    <w:qFormat/>
    <w:uiPriority w:val="99"/>
    <w:rPr>
      <w:rFonts w:ascii="Courier" w:hAnsi="Courier"/>
      <w:sz w:val="20"/>
      <w:szCs w:val="20"/>
    </w:rPr>
  </w:style>
  <w:style w:type="paragraph" w:styleId="150">
    <w:name w:val="Quote"/>
    <w:basedOn w:val="1"/>
    <w:next w:val="1"/>
    <w:link w:val="151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1">
    <w:name w:val="Quote Char"/>
    <w:basedOn w:val="134"/>
    <w:link w:val="150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2">
    <w:name w:val="Heading 4 Char"/>
    <w:basedOn w:val="134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3">
    <w:name w:val="Heading 5 Char"/>
    <w:basedOn w:val="134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4">
    <w:name w:val="Heading 6 Char"/>
    <w:basedOn w:val="134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5">
    <w:name w:val="Heading 7 Char"/>
    <w:basedOn w:val="134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6">
    <w:name w:val="Heading 8 Char"/>
    <w:basedOn w:val="134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7">
    <w:name w:val="Heading 9 Char"/>
    <w:basedOn w:val="134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8">
    <w:name w:val="Intense Quote"/>
    <w:basedOn w:val="1"/>
    <w:next w:val="1"/>
    <w:link w:val="159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9">
    <w:name w:val="Intense Quote Char"/>
    <w:basedOn w:val="134"/>
    <w:link w:val="158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Emphasis"/>
    <w:basedOn w:val="134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1">
    <w:name w:val="Intense Emphasis"/>
    <w:basedOn w:val="134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2">
    <w:name w:val="Subtle Reference"/>
    <w:basedOn w:val="134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3">
    <w:name w:val="Intense Reference"/>
    <w:basedOn w:val="134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4">
    <w:name w:val="Book Title"/>
    <w:basedOn w:val="134"/>
    <w:qFormat/>
    <w:uiPriority w:val="33"/>
    <w:rPr>
      <w:b/>
      <w:bCs/>
      <w:smallCaps/>
      <w:spacing w:val="5"/>
    </w:rPr>
  </w:style>
  <w:style w:type="paragraph" w:customStyle="1" w:styleId="165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5984</Words>
  <Characters>6907</Characters>
  <Lines>0</Lines>
  <Paragraphs>0</Paragraphs>
  <TotalTime>0</TotalTime>
  <ScaleCrop>false</ScaleCrop>
  <LinksUpToDate>false</LinksUpToDate>
  <CharactersWithSpaces>6982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白哥</cp:lastModifiedBy>
  <dcterms:modified xsi:type="dcterms:W3CDTF">2026-10-13T14:43:12Z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eyJoZGlkIjoiNGI2NDg2OWQ5YThmNjY2Y2QwOTI3OGY0YTIxZTg2ZTYiLCJ1c2VySWQiOiIyMzQyMTI1NTAifQ==</vt:lpwstr>
  </property>
  <property fmtid="{D5CDD505-2E9C-101B-9397-08002B2CF9AE}" pid="3" name="KSOProductBuildVer">
    <vt:lpwstr>2052-12.1.0.28505</vt:lpwstr>
  </property>
  <property fmtid="{D5CDD505-2E9C-101B-9397-08002B2CF9AE}" pid="4" name="ICV">
    <vt:lpwstr>5B5A710DFD094718B1356FACC008339A_12</vt:lpwstr>
  </property>
</Properties>
</file>