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15D77">
      <w:pPr>
        <w:pStyle w:val="33"/>
        <w:spacing w:before="0" w:after="360" w:line="360" w:lineRule="auto"/>
        <w:jc w:val="center"/>
        <w:rPr>
          <w:rFonts w:ascii="Times New Roman" w:hAnsi="Times New Roman" w:eastAsia="黑体"/>
          <w:b/>
          <w:color w:val="000000"/>
          <w:sz w:val="36"/>
        </w:rPr>
      </w:pPr>
      <w:r>
        <w:rPr>
          <w:rFonts w:ascii="Times New Roman" w:hAnsi="Times New Roman" w:eastAsia="黑体"/>
          <w:b/>
          <w:color w:val="000000"/>
          <w:sz w:val="36"/>
        </w:rPr>
        <w:t>结肠癌住院诊疗流程</w:t>
      </w:r>
    </w:p>
    <w:p w14:paraId="7AA52EB7">
      <w:pPr>
        <w:pStyle w:val="33"/>
        <w:spacing w:before="0" w:after="360" w:line="360" w:lineRule="auto"/>
        <w:jc w:val="center"/>
        <w:rPr>
          <w:rFonts w:ascii="Times New Roman" w:hAnsi="Times New Roman" w:eastAsia="黑体"/>
          <w:b/>
          <w:color w:val="000000"/>
          <w:sz w:val="36"/>
        </w:rPr>
      </w:pPr>
      <w:r>
        <w:rPr>
          <w:rFonts w:ascii="Times New Roman" w:hAnsi="Times New Roman" w:eastAsia="黑体"/>
          <w:b/>
          <w:color w:val="000000"/>
          <w:sz w:val="36"/>
        </w:rPr>
        <w:t>（结合CSCO 2026版指南审核修订）</w:t>
      </w:r>
    </w:p>
    <w:p w14:paraId="7F2B49DF">
      <w:pPr>
        <w:pStyle w:val="33"/>
        <w:spacing w:before="0" w:after="360" w:line="360" w:lineRule="auto"/>
        <w:jc w:val="center"/>
        <w:rPr>
          <w:rFonts w:hint="eastAsia" w:ascii="Times New Roman" w:hAnsi="Times New Roman" w:eastAsia="黑体"/>
          <w:b/>
          <w:color w:val="000000"/>
          <w:sz w:val="36"/>
          <w:lang w:val="en-US" w:eastAsia="zh-CN"/>
        </w:rPr>
      </w:pPr>
      <w:r>
        <w:rPr>
          <w:rFonts w:hint="eastAsia" w:ascii="Times New Roman" w:hAnsi="Times New Roman" w:eastAsia="黑体"/>
          <w:b/>
          <w:color w:val="000000"/>
          <w:sz w:val="36"/>
          <w:lang w:val="en-US" w:eastAsia="zh-CN"/>
        </w:rPr>
        <w:t>白少华</w:t>
      </w:r>
    </w:p>
    <w:p w14:paraId="136F7FEE">
      <w:pPr>
        <w:jc w:val="center"/>
        <w:rPr>
          <w:rFonts w:hint="default" w:eastAsiaTheme="minorEastAsia"/>
          <w:lang w:val="en-US" w:eastAsia="zh-CN"/>
        </w:rPr>
      </w:pPr>
      <w:r>
        <w:rPr>
          <w:rFonts w:hint="eastAsia"/>
          <w:lang w:val="en-US" w:eastAsia="zh-CN"/>
        </w:rPr>
        <w:t>个人观点，仅供参考，不作为具体诊疗依据，不承担任何法律后果。</w:t>
      </w:r>
    </w:p>
    <w:p w14:paraId="7B248197">
      <w:pPr>
        <w:bidi w:val="0"/>
        <w:jc w:val="left"/>
        <w:rPr>
          <w:rFonts w:hint="eastAsia"/>
          <w:lang w:val="en-US" w:eastAsia="zh-CN"/>
        </w:rPr>
      </w:pPr>
    </w:p>
    <w:p w14:paraId="3C511F0F">
      <w:pPr>
        <w:pageBreakBefore/>
        <w:spacing w:before="0" w:after="240" w:line="360" w:lineRule="auto"/>
        <w:jc w:val="center"/>
      </w:pPr>
      <w:r>
        <w:rPr>
          <w:rFonts w:ascii="Times New Roman" w:hAnsi="Times New Roman" w:eastAsia="黑体"/>
          <w:b/>
          <w:color w:val="000000"/>
          <w:sz w:val="32"/>
        </w:rPr>
        <w:t>目录</w:t>
      </w:r>
    </w:p>
    <w:p w14:paraId="594CDE6E">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一、门诊阶段：肠镜怀疑结肠癌，开</w:t>
      </w:r>
      <w:r>
        <w:rPr>
          <w:rFonts w:hint="eastAsia"/>
          <w:lang w:val="en-US" w:eastAsia="zh-CN"/>
        </w:rPr>
        <w:t>具</w:t>
      </w:r>
      <w:r>
        <w:t>住院证</w:t>
      </w:r>
      <w:r>
        <w:tab/>
      </w:r>
      <w:r>
        <w:fldChar w:fldCharType="begin"/>
      </w:r>
      <w:r>
        <w:instrText xml:space="preserve"> PAGEREF _LarkToc00001 \h </w:instrText>
      </w:r>
      <w:r>
        <w:fldChar w:fldCharType="separate"/>
      </w:r>
      <w:r>
        <w:t>3</w:t>
      </w:r>
      <w:r>
        <w:fldChar w:fldCharType="end"/>
      </w:r>
      <w:r>
        <w:fldChar w:fldCharType="end"/>
      </w:r>
    </w:p>
    <w:p w14:paraId="33BB4807">
      <w:pPr>
        <w:pStyle w:val="29"/>
        <w:tabs>
          <w:tab w:val="right" w:leader="dot" w:pos="9072"/>
        </w:tabs>
      </w:pPr>
      <w:r>
        <w:fldChar w:fldCharType="begin"/>
      </w:r>
      <w:r>
        <w:instrText xml:space="preserve"> HYPERLINK \l "_LarkToc00002" </w:instrText>
      </w:r>
      <w:r>
        <w:fldChar w:fldCharType="separate"/>
      </w:r>
      <w:r>
        <w:t>1. 门诊肠镜或影像提示结肠癌可能</w:t>
      </w:r>
      <w:r>
        <w:tab/>
      </w:r>
      <w:r>
        <w:fldChar w:fldCharType="begin"/>
      </w:r>
      <w:r>
        <w:instrText xml:space="preserve"> PAGEREF _LarkToc00002 \h </w:instrText>
      </w:r>
      <w:r>
        <w:fldChar w:fldCharType="separate"/>
      </w:r>
      <w:r>
        <w:t>3</w:t>
      </w:r>
      <w:r>
        <w:fldChar w:fldCharType="end"/>
      </w:r>
      <w:r>
        <w:fldChar w:fldCharType="end"/>
      </w:r>
    </w:p>
    <w:p w14:paraId="286B0A17">
      <w:pPr>
        <w:pStyle w:val="29"/>
        <w:tabs>
          <w:tab w:val="right" w:leader="dot" w:pos="9072"/>
        </w:tabs>
      </w:pPr>
      <w:r>
        <w:fldChar w:fldCharType="begin"/>
      </w:r>
      <w:r>
        <w:instrText xml:space="preserve"> HYPERLINK \l "_LarkToc00003" </w:instrText>
      </w:r>
      <w:r>
        <w:fldChar w:fldCharType="separate"/>
      </w:r>
      <w:r>
        <w:t>2. 门诊医生判断有住院指征</w:t>
      </w:r>
      <w:r>
        <w:tab/>
      </w:r>
      <w:r>
        <w:fldChar w:fldCharType="begin"/>
      </w:r>
      <w:r>
        <w:instrText xml:space="preserve"> PAGEREF _LarkToc00003 \h </w:instrText>
      </w:r>
      <w:r>
        <w:fldChar w:fldCharType="separate"/>
      </w:r>
      <w:r>
        <w:t>3</w:t>
      </w:r>
      <w:r>
        <w:fldChar w:fldCharType="end"/>
      </w:r>
      <w:r>
        <w:fldChar w:fldCharType="end"/>
      </w:r>
    </w:p>
    <w:p w14:paraId="340960EA">
      <w:pPr>
        <w:pStyle w:val="29"/>
        <w:tabs>
          <w:tab w:val="right" w:leader="dot" w:pos="9072"/>
        </w:tabs>
      </w:pPr>
      <w:r>
        <w:fldChar w:fldCharType="begin"/>
      </w:r>
      <w:r>
        <w:instrText xml:space="preserve"> HYPERLINK \l "_LarkToc00004" </w:instrText>
      </w:r>
      <w:r>
        <w:fldChar w:fldCharType="separate"/>
      </w:r>
      <w:r>
        <w:t>3. 与患者沟通</w:t>
      </w:r>
      <w:r>
        <w:tab/>
      </w:r>
      <w:r>
        <w:fldChar w:fldCharType="begin"/>
      </w:r>
      <w:r>
        <w:instrText xml:space="preserve"> PAGEREF _LarkToc00004 \h </w:instrText>
      </w:r>
      <w:r>
        <w:fldChar w:fldCharType="separate"/>
      </w:r>
      <w:r>
        <w:t>3</w:t>
      </w:r>
      <w:r>
        <w:fldChar w:fldCharType="end"/>
      </w:r>
      <w:r>
        <w:fldChar w:fldCharType="end"/>
      </w:r>
    </w:p>
    <w:p w14:paraId="6DF38854">
      <w:pPr>
        <w:pStyle w:val="29"/>
        <w:tabs>
          <w:tab w:val="right" w:leader="dot" w:pos="9072"/>
        </w:tabs>
      </w:pPr>
      <w:r>
        <w:fldChar w:fldCharType="begin"/>
      </w:r>
      <w:r>
        <w:instrText xml:space="preserve"> HYPERLINK \l "_LarkToc00005" </w:instrText>
      </w:r>
      <w:r>
        <w:fldChar w:fldCharType="separate"/>
      </w:r>
      <w:r>
        <w:t>4. 办理入院</w:t>
      </w:r>
      <w:r>
        <w:tab/>
      </w:r>
      <w:r>
        <w:fldChar w:fldCharType="begin"/>
      </w:r>
      <w:r>
        <w:instrText xml:space="preserve"> PAGEREF _LarkToc00005 \h </w:instrText>
      </w:r>
      <w:r>
        <w:fldChar w:fldCharType="separate"/>
      </w:r>
      <w:r>
        <w:t>3</w:t>
      </w:r>
      <w:r>
        <w:fldChar w:fldCharType="end"/>
      </w:r>
      <w:r>
        <w:fldChar w:fldCharType="end"/>
      </w:r>
    </w:p>
    <w:p w14:paraId="01CEA255">
      <w:pPr>
        <w:pStyle w:val="26"/>
        <w:tabs>
          <w:tab w:val="right" w:leader="dot" w:pos="9072"/>
        </w:tabs>
      </w:pPr>
      <w:r>
        <w:fldChar w:fldCharType="begin"/>
      </w:r>
      <w:r>
        <w:instrText xml:space="preserve"> HYPERLINK \l "_LarkToc00006" </w:instrText>
      </w:r>
      <w:r>
        <w:fldChar w:fldCharType="separate"/>
      </w:r>
      <w:r>
        <w:t>二、住院后第1—3天：完善检查，追踪病理</w:t>
      </w:r>
      <w:r>
        <w:tab/>
      </w:r>
      <w:r>
        <w:fldChar w:fldCharType="begin"/>
      </w:r>
      <w:r>
        <w:instrText xml:space="preserve"> PAGEREF _LarkToc00006 \h </w:instrText>
      </w:r>
      <w:r>
        <w:fldChar w:fldCharType="separate"/>
      </w:r>
      <w:r>
        <w:t>3</w:t>
      </w:r>
      <w:r>
        <w:fldChar w:fldCharType="end"/>
      </w:r>
      <w:r>
        <w:fldChar w:fldCharType="end"/>
      </w:r>
    </w:p>
    <w:p w14:paraId="0A92D700">
      <w:pPr>
        <w:pStyle w:val="29"/>
        <w:tabs>
          <w:tab w:val="right" w:leader="dot" w:pos="9072"/>
        </w:tabs>
      </w:pPr>
      <w:r>
        <w:fldChar w:fldCharType="begin"/>
      </w:r>
      <w:r>
        <w:instrText xml:space="preserve"> HYPERLINK \l "_LarkToc00007" </w:instrText>
      </w:r>
      <w:r>
        <w:fldChar w:fldCharType="separate"/>
      </w:r>
      <w:r>
        <w:t>1. 入院记录与查体</w:t>
      </w:r>
      <w:r>
        <w:tab/>
      </w:r>
      <w:r>
        <w:fldChar w:fldCharType="begin"/>
      </w:r>
      <w:r>
        <w:instrText xml:space="preserve"> PAGEREF _LarkToc00007 \h </w:instrText>
      </w:r>
      <w:r>
        <w:fldChar w:fldCharType="separate"/>
      </w:r>
      <w:r>
        <w:t>3</w:t>
      </w:r>
      <w:r>
        <w:fldChar w:fldCharType="end"/>
      </w:r>
      <w:r>
        <w:fldChar w:fldCharType="end"/>
      </w:r>
    </w:p>
    <w:p w14:paraId="11C080DF">
      <w:pPr>
        <w:pStyle w:val="29"/>
        <w:tabs>
          <w:tab w:val="right" w:leader="dot" w:pos="9072"/>
        </w:tabs>
      </w:pPr>
      <w:r>
        <w:fldChar w:fldCharType="begin"/>
      </w:r>
      <w:r>
        <w:instrText xml:space="preserve"> HYPERLINK \l "_LarkToc00008" </w:instrText>
      </w:r>
      <w:r>
        <w:fldChar w:fldCharType="separate"/>
      </w:r>
      <w:r>
        <w:t>2. 追踪门诊病理</w:t>
      </w:r>
      <w:r>
        <w:tab/>
      </w:r>
      <w:r>
        <w:fldChar w:fldCharType="begin"/>
      </w:r>
      <w:r>
        <w:instrText xml:space="preserve"> PAGEREF _LarkToc00008 \h </w:instrText>
      </w:r>
      <w:r>
        <w:fldChar w:fldCharType="separate"/>
      </w:r>
      <w:r>
        <w:t>4</w:t>
      </w:r>
      <w:r>
        <w:fldChar w:fldCharType="end"/>
      </w:r>
      <w:r>
        <w:fldChar w:fldCharType="end"/>
      </w:r>
    </w:p>
    <w:p w14:paraId="77B0C937">
      <w:pPr>
        <w:pStyle w:val="29"/>
        <w:tabs>
          <w:tab w:val="right" w:leader="dot" w:pos="9072"/>
        </w:tabs>
      </w:pPr>
      <w:r>
        <w:fldChar w:fldCharType="begin"/>
      </w:r>
      <w:r>
        <w:instrText xml:space="preserve"> HYPERLINK \l "_LarkToc00009" </w:instrText>
      </w:r>
      <w:r>
        <w:fldChar w:fldCharType="separate"/>
      </w:r>
      <w:r>
        <w:t>3. 完善分期和术前检查</w:t>
      </w:r>
      <w:r>
        <w:tab/>
      </w:r>
      <w:r>
        <w:fldChar w:fldCharType="begin"/>
      </w:r>
      <w:r>
        <w:instrText xml:space="preserve"> PAGEREF _LarkToc00009 \h </w:instrText>
      </w:r>
      <w:r>
        <w:fldChar w:fldCharType="separate"/>
      </w:r>
      <w:r>
        <w:t>4</w:t>
      </w:r>
      <w:r>
        <w:fldChar w:fldCharType="end"/>
      </w:r>
      <w:r>
        <w:fldChar w:fldCharType="end"/>
      </w:r>
    </w:p>
    <w:p w14:paraId="2E354354">
      <w:pPr>
        <w:pStyle w:val="29"/>
        <w:tabs>
          <w:tab w:val="right" w:leader="dot" w:pos="9072"/>
        </w:tabs>
      </w:pPr>
      <w:r>
        <w:fldChar w:fldCharType="begin"/>
      </w:r>
      <w:r>
        <w:instrText xml:space="preserve"> HYPERLINK \l "_LarkToc00010" </w:instrText>
      </w:r>
      <w:r>
        <w:fldChar w:fldCharType="separate"/>
      </w:r>
      <w:r>
        <w:t>4. 分子病理检测（2026版指南重点更新）</w:t>
      </w:r>
      <w:r>
        <w:tab/>
      </w:r>
      <w:r>
        <w:fldChar w:fldCharType="begin"/>
      </w:r>
      <w:r>
        <w:instrText xml:space="preserve"> PAGEREF _LarkToc00010 \h </w:instrText>
      </w:r>
      <w:r>
        <w:fldChar w:fldCharType="separate"/>
      </w:r>
      <w:r>
        <w:t>4</w:t>
      </w:r>
      <w:r>
        <w:fldChar w:fldCharType="end"/>
      </w:r>
      <w:r>
        <w:fldChar w:fldCharType="end"/>
      </w:r>
    </w:p>
    <w:p w14:paraId="40346573">
      <w:pPr>
        <w:pStyle w:val="26"/>
        <w:tabs>
          <w:tab w:val="right" w:leader="dot" w:pos="9072"/>
        </w:tabs>
      </w:pPr>
      <w:r>
        <w:fldChar w:fldCharType="begin"/>
      </w:r>
      <w:r>
        <w:instrText xml:space="preserve"> HYPERLINK \l "_LarkToc00011" </w:instrText>
      </w:r>
      <w:r>
        <w:fldChar w:fldCharType="separate"/>
      </w:r>
      <w:r>
        <w:t>三、住院第3—7天：确诊、分期、MDT决策（2026版核心修订）</w:t>
      </w:r>
      <w:r>
        <w:tab/>
      </w:r>
      <w:r>
        <w:fldChar w:fldCharType="begin"/>
      </w:r>
      <w:r>
        <w:instrText xml:space="preserve"> PAGEREF _LarkToc00011 \h </w:instrText>
      </w:r>
      <w:r>
        <w:fldChar w:fldCharType="separate"/>
      </w:r>
      <w:r>
        <w:t>5</w:t>
      </w:r>
      <w:r>
        <w:fldChar w:fldCharType="end"/>
      </w:r>
      <w:r>
        <w:fldChar w:fldCharType="end"/>
      </w:r>
    </w:p>
    <w:p w14:paraId="644C7C9F">
      <w:pPr>
        <w:pStyle w:val="29"/>
        <w:tabs>
          <w:tab w:val="right" w:leader="dot" w:pos="9072"/>
        </w:tabs>
      </w:pPr>
      <w:r>
        <w:fldChar w:fldCharType="begin"/>
      </w:r>
      <w:r>
        <w:instrText xml:space="preserve"> HYPERLINK \l "_LarkToc00012" </w:instrText>
      </w:r>
      <w:r>
        <w:fldChar w:fldCharType="separate"/>
      </w:r>
      <w:r>
        <w:t>1. 病理确诊</w:t>
      </w:r>
      <w:r>
        <w:tab/>
      </w:r>
      <w:r>
        <w:fldChar w:fldCharType="begin"/>
      </w:r>
      <w:r>
        <w:instrText xml:space="preserve"> PAGEREF _LarkToc00012 \h </w:instrText>
      </w:r>
      <w:r>
        <w:fldChar w:fldCharType="separate"/>
      </w:r>
      <w:r>
        <w:t>5</w:t>
      </w:r>
      <w:r>
        <w:fldChar w:fldCharType="end"/>
      </w:r>
      <w:r>
        <w:fldChar w:fldCharType="end"/>
      </w:r>
    </w:p>
    <w:p w14:paraId="4E9BEFC8">
      <w:pPr>
        <w:pStyle w:val="29"/>
        <w:tabs>
          <w:tab w:val="right" w:leader="dot" w:pos="9072"/>
        </w:tabs>
      </w:pPr>
      <w:r>
        <w:fldChar w:fldCharType="begin"/>
      </w:r>
      <w:r>
        <w:instrText xml:space="preserve"> HYPERLINK \l "_LarkToc00013" </w:instrText>
      </w:r>
      <w:r>
        <w:fldChar w:fldCharType="separate"/>
      </w:r>
      <w:r>
        <w:t>2. 临床分期与分子分型</w:t>
      </w:r>
      <w:r>
        <w:tab/>
      </w:r>
      <w:r>
        <w:fldChar w:fldCharType="begin"/>
      </w:r>
      <w:r>
        <w:instrText xml:space="preserve"> PAGEREF _LarkToc00013 \h </w:instrText>
      </w:r>
      <w:r>
        <w:fldChar w:fldCharType="separate"/>
      </w:r>
      <w:r>
        <w:t>6</w:t>
      </w:r>
      <w:r>
        <w:fldChar w:fldCharType="end"/>
      </w:r>
      <w:r>
        <w:fldChar w:fldCharType="end"/>
      </w:r>
    </w:p>
    <w:p w14:paraId="3A0D3CB4">
      <w:pPr>
        <w:pStyle w:val="29"/>
        <w:tabs>
          <w:tab w:val="right" w:leader="dot" w:pos="9072"/>
        </w:tabs>
      </w:pPr>
      <w:r>
        <w:fldChar w:fldCharType="begin"/>
      </w:r>
      <w:r>
        <w:instrText xml:space="preserve"> HYPERLINK \l "_LarkToc00014" </w:instrText>
      </w:r>
      <w:r>
        <w:fldChar w:fldCharType="separate"/>
      </w:r>
      <w:r>
        <w:t>3. MDT多学科会诊</w:t>
      </w:r>
      <w:r>
        <w:tab/>
      </w:r>
      <w:r>
        <w:fldChar w:fldCharType="begin"/>
      </w:r>
      <w:r>
        <w:instrText xml:space="preserve"> PAGEREF _LarkToc00014 \h </w:instrText>
      </w:r>
      <w:r>
        <w:fldChar w:fldCharType="separate"/>
      </w:r>
      <w:r>
        <w:t>6</w:t>
      </w:r>
      <w:r>
        <w:fldChar w:fldCharType="end"/>
      </w:r>
      <w:r>
        <w:fldChar w:fldCharType="end"/>
      </w:r>
    </w:p>
    <w:p w14:paraId="273C3B03">
      <w:pPr>
        <w:pStyle w:val="29"/>
        <w:tabs>
          <w:tab w:val="right" w:leader="dot" w:pos="9072"/>
        </w:tabs>
      </w:pPr>
      <w:r>
        <w:fldChar w:fldCharType="begin"/>
      </w:r>
      <w:r>
        <w:instrText xml:space="preserve"> HYPERLINK \l "_LarkToc00015" </w:instrText>
      </w:r>
      <w:r>
        <w:fldChar w:fldCharType="separate"/>
      </w:r>
      <w:r>
        <w:t>4. 围手术期治疗方案制定（按分子分型分层）</w:t>
      </w:r>
      <w:r>
        <w:tab/>
      </w:r>
      <w:r>
        <w:fldChar w:fldCharType="begin"/>
      </w:r>
      <w:r>
        <w:instrText xml:space="preserve"> PAGEREF _LarkToc00015 \h </w:instrText>
      </w:r>
      <w:r>
        <w:fldChar w:fldCharType="separate"/>
      </w:r>
      <w:r>
        <w:t>6</w:t>
      </w:r>
      <w:r>
        <w:fldChar w:fldCharType="end"/>
      </w:r>
      <w:r>
        <w:fldChar w:fldCharType="end"/>
      </w:r>
    </w:p>
    <w:p w14:paraId="699E5BF6">
      <w:pPr>
        <w:pStyle w:val="26"/>
        <w:tabs>
          <w:tab w:val="right" w:leader="dot" w:pos="9072"/>
        </w:tabs>
      </w:pPr>
      <w:r>
        <w:fldChar w:fldCharType="begin"/>
      </w:r>
      <w:r>
        <w:instrText xml:space="preserve"> HYPERLINK \l "_LarkToc00016" </w:instrText>
      </w:r>
      <w:r>
        <w:fldChar w:fldCharType="separate"/>
      </w:r>
      <w:r>
        <w:t>四、治疗实施与术后管理</w:t>
      </w:r>
      <w:r>
        <w:tab/>
      </w:r>
      <w:r>
        <w:fldChar w:fldCharType="begin"/>
      </w:r>
      <w:r>
        <w:instrText xml:space="preserve"> PAGEREF _LarkToc00016 \h </w:instrText>
      </w:r>
      <w:r>
        <w:fldChar w:fldCharType="separate"/>
      </w:r>
      <w:r>
        <w:t>7</w:t>
      </w:r>
      <w:r>
        <w:fldChar w:fldCharType="end"/>
      </w:r>
      <w:r>
        <w:fldChar w:fldCharType="end"/>
      </w:r>
    </w:p>
    <w:p w14:paraId="54D24D61">
      <w:pPr>
        <w:pStyle w:val="29"/>
        <w:tabs>
          <w:tab w:val="right" w:leader="dot" w:pos="9072"/>
        </w:tabs>
      </w:pPr>
      <w:r>
        <w:fldChar w:fldCharType="begin"/>
      </w:r>
      <w:r>
        <w:instrText xml:space="preserve"> HYPERLINK \l "_LarkToc00017" </w:instrText>
      </w:r>
      <w:r>
        <w:fldChar w:fldCharType="separate"/>
      </w:r>
      <w:r>
        <w:t>1. 手术治疗</w:t>
      </w:r>
      <w:r>
        <w:tab/>
      </w:r>
      <w:r>
        <w:fldChar w:fldCharType="begin"/>
      </w:r>
      <w:r>
        <w:instrText xml:space="preserve"> PAGEREF _LarkToc00017 \h </w:instrText>
      </w:r>
      <w:r>
        <w:fldChar w:fldCharType="separate"/>
      </w:r>
      <w:r>
        <w:t>7</w:t>
      </w:r>
      <w:r>
        <w:fldChar w:fldCharType="end"/>
      </w:r>
      <w:r>
        <w:fldChar w:fldCharType="end"/>
      </w:r>
    </w:p>
    <w:p w14:paraId="073B3570">
      <w:pPr>
        <w:pStyle w:val="29"/>
        <w:tabs>
          <w:tab w:val="right" w:leader="dot" w:pos="9072"/>
        </w:tabs>
      </w:pPr>
      <w:r>
        <w:fldChar w:fldCharType="begin"/>
      </w:r>
      <w:r>
        <w:instrText xml:space="preserve"> HYPERLINK \l "_LarkToc00018" </w:instrText>
      </w:r>
      <w:r>
        <w:fldChar w:fldCharType="separate"/>
      </w:r>
      <w:r>
        <w:t>2. 围手术期管理</w:t>
      </w:r>
      <w:r>
        <w:tab/>
      </w:r>
      <w:r>
        <w:fldChar w:fldCharType="begin"/>
      </w:r>
      <w:r>
        <w:instrText xml:space="preserve"> PAGEREF _LarkToc00018 \h </w:instrText>
      </w:r>
      <w:r>
        <w:fldChar w:fldCharType="separate"/>
      </w:r>
      <w:r>
        <w:t>8</w:t>
      </w:r>
      <w:r>
        <w:fldChar w:fldCharType="end"/>
      </w:r>
      <w:r>
        <w:fldChar w:fldCharType="end"/>
      </w:r>
    </w:p>
    <w:p w14:paraId="440D6F85">
      <w:pPr>
        <w:pStyle w:val="29"/>
        <w:tabs>
          <w:tab w:val="right" w:leader="dot" w:pos="9072"/>
        </w:tabs>
      </w:pPr>
      <w:r>
        <w:fldChar w:fldCharType="begin"/>
      </w:r>
      <w:r>
        <w:instrText xml:space="preserve"> HYPERLINK \l "_LarkToc00019" </w:instrText>
      </w:r>
      <w:r>
        <w:fldChar w:fldCharType="separate"/>
      </w:r>
      <w:r>
        <w:t>3. 术后辅助化疗（2026版更新）</w:t>
      </w:r>
      <w:r>
        <w:tab/>
      </w:r>
      <w:r>
        <w:fldChar w:fldCharType="begin"/>
      </w:r>
      <w:r>
        <w:instrText xml:space="preserve"> PAGEREF _LarkToc00019 \h </w:instrText>
      </w:r>
      <w:r>
        <w:fldChar w:fldCharType="separate"/>
      </w:r>
      <w:r>
        <w:t>8</w:t>
      </w:r>
      <w:r>
        <w:fldChar w:fldCharType="end"/>
      </w:r>
      <w:r>
        <w:fldChar w:fldCharType="end"/>
      </w:r>
    </w:p>
    <w:p w14:paraId="55914EA9">
      <w:pPr>
        <w:pStyle w:val="26"/>
        <w:tabs>
          <w:tab w:val="right" w:leader="dot" w:pos="9072"/>
        </w:tabs>
      </w:pPr>
      <w:r>
        <w:fldChar w:fldCharType="begin"/>
      </w:r>
      <w:r>
        <w:instrText xml:space="preserve"> HYPERLINK \l "_LarkToc00020" </w:instrText>
      </w:r>
      <w:r>
        <w:fldChar w:fldCharType="separate"/>
      </w:r>
      <w:r>
        <w:t>五、出院标准与出院流程</w:t>
      </w:r>
      <w:r>
        <w:tab/>
      </w:r>
      <w:r>
        <w:fldChar w:fldCharType="begin"/>
      </w:r>
      <w:r>
        <w:instrText xml:space="preserve"> PAGEREF _LarkToc00020 \h </w:instrText>
      </w:r>
      <w:r>
        <w:fldChar w:fldCharType="separate"/>
      </w:r>
      <w:r>
        <w:t>10</w:t>
      </w:r>
      <w:r>
        <w:fldChar w:fldCharType="end"/>
      </w:r>
      <w:r>
        <w:fldChar w:fldCharType="end"/>
      </w:r>
    </w:p>
    <w:p w14:paraId="6C218000">
      <w:pPr>
        <w:pStyle w:val="26"/>
        <w:tabs>
          <w:tab w:val="right" w:leader="dot" w:pos="9072"/>
        </w:tabs>
      </w:pPr>
      <w:r>
        <w:fldChar w:fldCharType="begin"/>
      </w:r>
      <w:r>
        <w:instrText xml:space="preserve"> HYPERLINK \l "_LarkToc00021" </w:instrText>
      </w:r>
      <w:r>
        <w:fldChar w:fldCharType="separate"/>
      </w:r>
      <w:r>
        <w:t>六、出院后随访（2026版指南修订）</w:t>
      </w:r>
      <w:r>
        <w:tab/>
      </w:r>
      <w:r>
        <w:fldChar w:fldCharType="begin"/>
      </w:r>
      <w:r>
        <w:instrText xml:space="preserve"> PAGEREF _LarkToc00021 \h </w:instrText>
      </w:r>
      <w:r>
        <w:fldChar w:fldCharType="separate"/>
      </w:r>
      <w:r>
        <w:t>11</w:t>
      </w:r>
      <w:r>
        <w:fldChar w:fldCharType="end"/>
      </w:r>
      <w:r>
        <w:fldChar w:fldCharType="end"/>
      </w:r>
    </w:p>
    <w:p w14:paraId="1E440F97">
      <w:pPr>
        <w:pStyle w:val="29"/>
        <w:tabs>
          <w:tab w:val="right" w:leader="dot" w:pos="9072"/>
        </w:tabs>
      </w:pPr>
      <w:r>
        <w:fldChar w:fldCharType="begin"/>
      </w:r>
      <w:r>
        <w:instrText xml:space="preserve"> HYPERLINK \l "_LarkToc00022" </w:instrText>
      </w:r>
      <w:r>
        <w:fldChar w:fldCharType="separate"/>
      </w:r>
      <w:r>
        <w:t>1. 随访频率</w:t>
      </w:r>
      <w:r>
        <w:tab/>
      </w:r>
      <w:r>
        <w:fldChar w:fldCharType="begin"/>
      </w:r>
      <w:r>
        <w:instrText xml:space="preserve"> PAGEREF _LarkToc00022 \h </w:instrText>
      </w:r>
      <w:r>
        <w:fldChar w:fldCharType="separate"/>
      </w:r>
      <w:r>
        <w:t>11</w:t>
      </w:r>
      <w:r>
        <w:fldChar w:fldCharType="end"/>
      </w:r>
      <w:r>
        <w:fldChar w:fldCharType="end"/>
      </w:r>
    </w:p>
    <w:p w14:paraId="498BBCC3">
      <w:pPr>
        <w:pStyle w:val="29"/>
        <w:tabs>
          <w:tab w:val="right" w:leader="dot" w:pos="9072"/>
        </w:tabs>
      </w:pPr>
      <w:r>
        <w:fldChar w:fldCharType="begin"/>
      </w:r>
      <w:r>
        <w:instrText xml:space="preserve"> HYPERLINK \l "_LarkToc00023" </w:instrText>
      </w:r>
      <w:r>
        <w:fldChar w:fldCharType="separate"/>
      </w:r>
      <w:r>
        <w:t>2. 随访内容（无特指时即为每次）</w:t>
      </w:r>
      <w:r>
        <w:tab/>
      </w:r>
      <w:r>
        <w:fldChar w:fldCharType="begin"/>
      </w:r>
      <w:r>
        <w:instrText xml:space="preserve"> PAGEREF _LarkToc00023 \h </w:instrText>
      </w:r>
      <w:r>
        <w:fldChar w:fldCharType="separate"/>
      </w:r>
      <w:r>
        <w:t>11</w:t>
      </w:r>
      <w:r>
        <w:fldChar w:fldCharType="end"/>
      </w:r>
      <w:r>
        <w:fldChar w:fldCharType="end"/>
      </w:r>
    </w:p>
    <w:p w14:paraId="5FEB108E">
      <w:pPr>
        <w:pStyle w:val="29"/>
        <w:tabs>
          <w:tab w:val="right" w:leader="dot" w:pos="9072"/>
        </w:tabs>
      </w:pPr>
      <w:r>
        <w:fldChar w:fldCharType="begin"/>
      </w:r>
      <w:r>
        <w:instrText xml:space="preserve"> HYPERLINK \l "_LarkToc00024" </w:instrText>
      </w:r>
      <w:r>
        <w:fldChar w:fldCharType="separate"/>
      </w:r>
      <w:r>
        <w:t>3. Ⅱ级推荐随访内容</w:t>
      </w:r>
      <w:r>
        <w:tab/>
      </w:r>
      <w:r>
        <w:fldChar w:fldCharType="begin"/>
      </w:r>
      <w:r>
        <w:instrText xml:space="preserve"> PAGEREF _LarkToc00024 \h </w:instrText>
      </w:r>
      <w:r>
        <w:fldChar w:fldCharType="separate"/>
      </w:r>
      <w:r>
        <w:t>11</w:t>
      </w:r>
      <w:r>
        <w:fldChar w:fldCharType="end"/>
      </w:r>
      <w:r>
        <w:fldChar w:fldCharType="end"/>
      </w:r>
    </w:p>
    <w:p w14:paraId="6169C79E">
      <w:pPr>
        <w:pStyle w:val="29"/>
        <w:tabs>
          <w:tab w:val="right" w:leader="dot" w:pos="9072"/>
        </w:tabs>
      </w:pPr>
      <w:r>
        <w:fldChar w:fldCharType="begin"/>
      </w:r>
      <w:r>
        <w:instrText xml:space="preserve"> HYPERLINK \l "_LarkToc00025" </w:instrText>
      </w:r>
      <w:r>
        <w:fldChar w:fldCharType="separate"/>
      </w:r>
      <w:r>
        <w:t>4. 遗传筛查</w:t>
      </w:r>
      <w:r>
        <w:tab/>
      </w:r>
      <w:r>
        <w:fldChar w:fldCharType="begin"/>
      </w:r>
      <w:r>
        <w:instrText xml:space="preserve"> PAGEREF _LarkToc00025 \h </w:instrText>
      </w:r>
      <w:r>
        <w:fldChar w:fldCharType="separate"/>
      </w:r>
      <w:r>
        <w:t>12</w:t>
      </w:r>
      <w:r>
        <w:fldChar w:fldCharType="end"/>
      </w:r>
      <w:r>
        <w:fldChar w:fldCharType="end"/>
      </w:r>
    </w:p>
    <w:p w14:paraId="206C4FCA">
      <w:pPr>
        <w:pStyle w:val="26"/>
        <w:tabs>
          <w:tab w:val="right" w:leader="dot" w:pos="9072"/>
        </w:tabs>
      </w:pPr>
      <w:r>
        <w:fldChar w:fldCharType="begin"/>
      </w:r>
      <w:r>
        <w:instrText xml:space="preserve"> HYPERLINK \l "_LarkToc00026" </w:instrText>
      </w:r>
      <w:r>
        <w:fldChar w:fldCharType="separate"/>
      </w:r>
      <w:r>
        <w:t>七、与2025版流程的核心差异总结</w:t>
      </w:r>
      <w:r>
        <w:tab/>
      </w:r>
      <w:r>
        <w:fldChar w:fldCharType="begin"/>
      </w:r>
      <w:r>
        <w:instrText xml:space="preserve"> PAGEREF _LarkToc00026 \h </w:instrText>
      </w:r>
      <w:r>
        <w:fldChar w:fldCharType="separate"/>
      </w:r>
      <w:r>
        <w:t>13</w:t>
      </w:r>
      <w:r>
        <w:fldChar w:fldCharType="end"/>
      </w:r>
      <w:r>
        <w:fldChar w:fldCharType="end"/>
      </w:r>
      <w:r>
        <w:fldChar w:fldCharType="end"/>
      </w:r>
    </w:p>
    <w:p w14:paraId="405722AC">
      <w:r>
        <w:br w:type="page"/>
      </w:r>
    </w:p>
    <w:p w14:paraId="0ADAFC0A">
      <w:pPr>
        <w:spacing w:before="0" w:after="0" w:line="360" w:lineRule="auto"/>
        <w:ind w:firstLine="482" w:firstLineChars="200"/>
        <w:jc w:val="both"/>
      </w:pPr>
      <w:r>
        <w:rPr>
          <w:rFonts w:ascii="Times New Roman" w:hAnsi="Times New Roman" w:eastAsia="宋体"/>
          <w:b/>
          <w:color w:val="000000"/>
          <w:sz w:val="24"/>
        </w:rPr>
        <w:t>核心修订说明</w:t>
      </w:r>
      <w:r>
        <w:rPr>
          <w:rFonts w:ascii="Times New Roman" w:hAnsi="Times New Roman" w:eastAsia="宋体"/>
          <w:b w:val="0"/>
          <w:color w:val="000000"/>
          <w:sz w:val="24"/>
        </w:rPr>
        <w:t>：2026版CSCO结直肠癌诊疗指南的核心变化是：</w:t>
      </w:r>
      <w:r>
        <w:rPr>
          <w:rFonts w:ascii="Times New Roman" w:hAnsi="Times New Roman" w:eastAsia="宋体"/>
          <w:b/>
          <w:color w:val="000000"/>
          <w:sz w:val="24"/>
        </w:rPr>
        <w:t>将原“手术治疗”章节更名为“围手术期治疗”，首次构建“分期-分子-临床”三维决策体系，并将MSI-H/dMMR患者的围手术期免疫治疗纳入Ⅰ级推荐</w:t>
      </w:r>
      <w:r>
        <w:rPr>
          <w:rFonts w:ascii="Times New Roman" w:hAnsi="Times New Roman" w:eastAsia="宋体"/>
          <w:b w:val="0"/>
          <w:color w:val="000000"/>
          <w:sz w:val="24"/>
        </w:rPr>
        <w:t>。以下流程据此进行审核修订。</w:t>
      </w:r>
    </w:p>
    <w:p w14:paraId="22BF629F">
      <w:pPr>
        <w:pStyle w:val="3"/>
        <w:keepNext/>
        <w:spacing w:before="280" w:after="120" w:line="360" w:lineRule="auto"/>
      </w:pPr>
      <w:bookmarkStart w:id="0" w:name="_LarkToc00001"/>
      <w:r>
        <w:rPr>
          <w:rFonts w:ascii="Times New Roman" w:hAnsi="Times New Roman" w:eastAsia="黑体"/>
          <w:b/>
          <w:color w:val="000000"/>
          <w:sz w:val="32"/>
        </w:rPr>
        <w:t>一、门诊阶段：肠镜怀疑结肠癌，直接开住院证</w:t>
      </w:r>
      <w:bookmarkEnd w:id="0"/>
    </w:p>
    <w:p w14:paraId="1780EFC8">
      <w:pPr>
        <w:pStyle w:val="4"/>
        <w:keepNext/>
        <w:spacing w:before="220" w:after="100" w:line="360" w:lineRule="auto"/>
      </w:pPr>
      <w:bookmarkStart w:id="1" w:name="_LarkToc00002"/>
      <w:r>
        <w:rPr>
          <w:rFonts w:ascii="Times New Roman" w:hAnsi="Times New Roman" w:eastAsia="黑体"/>
          <w:b/>
          <w:color w:val="000000"/>
          <w:sz w:val="28"/>
        </w:rPr>
        <w:t>1. 门诊肠镜或影像提示结肠癌可能</w:t>
      </w:r>
      <w:bookmarkEnd w:id="1"/>
    </w:p>
    <w:p w14:paraId="6E4FB6BE">
      <w:pPr>
        <w:pStyle w:val="16"/>
        <w:spacing w:before="0" w:after="0" w:line="360" w:lineRule="auto"/>
      </w:pPr>
      <w:r>
        <w:rPr>
          <w:rFonts w:ascii="Times New Roman" w:hAnsi="Times New Roman" w:eastAsia="宋体"/>
          <w:b w:val="0"/>
          <w:color w:val="000000"/>
          <w:sz w:val="24"/>
        </w:rPr>
        <w:t>门诊肠镜发现结肠占位、溃疡、菜花样病变、肠腔狭窄等，考虑结肠癌可能，常规取活检送病理。</w:t>
      </w:r>
    </w:p>
    <w:p w14:paraId="4DB55370">
      <w:pPr>
        <w:pStyle w:val="16"/>
        <w:spacing w:before="0" w:after="0" w:line="360" w:lineRule="auto"/>
      </w:pPr>
      <w:r>
        <w:rPr>
          <w:rFonts w:ascii="Times New Roman" w:hAnsi="Times New Roman" w:eastAsia="宋体"/>
          <w:b w:val="0"/>
          <w:color w:val="000000"/>
          <w:sz w:val="24"/>
        </w:rPr>
        <w:t>若门诊CT、大便潜血、肿瘤标志物等提示结肠癌可能但未做肠镜，收住院后尽快安排肠镜+活检。</w:t>
      </w:r>
    </w:p>
    <w:p w14:paraId="0E8343EE">
      <w:pPr>
        <w:pStyle w:val="4"/>
        <w:keepNext/>
        <w:spacing w:before="220" w:after="100" w:line="360" w:lineRule="auto"/>
      </w:pPr>
      <w:bookmarkStart w:id="2" w:name="_LarkToc00003"/>
      <w:r>
        <w:rPr>
          <w:rFonts w:ascii="Times New Roman" w:hAnsi="Times New Roman" w:eastAsia="黑体"/>
          <w:b/>
          <w:color w:val="000000"/>
          <w:sz w:val="28"/>
        </w:rPr>
        <w:t>2. 门诊医生判断有住院指征</w:t>
      </w:r>
      <w:bookmarkEnd w:id="2"/>
    </w:p>
    <w:p w14:paraId="25470BC5">
      <w:pPr>
        <w:pStyle w:val="16"/>
        <w:spacing w:before="0" w:after="0" w:line="360" w:lineRule="auto"/>
      </w:pPr>
      <w:r>
        <w:rPr>
          <w:rFonts w:ascii="Times New Roman" w:hAnsi="Times New Roman" w:eastAsia="宋体"/>
          <w:b w:val="0"/>
          <w:color w:val="000000"/>
          <w:sz w:val="24"/>
        </w:rPr>
        <w:t>入院诊断</w:t>
      </w:r>
      <w:bookmarkStart w:id="26" w:name="_GoBack"/>
      <w:bookmarkEnd w:id="26"/>
      <w:r>
        <w:rPr>
          <w:rFonts w:ascii="Times New Roman" w:hAnsi="Times New Roman" w:eastAsia="宋体"/>
          <w:b w:val="0"/>
          <w:color w:val="000000"/>
          <w:sz w:val="24"/>
        </w:rPr>
        <w:t>：</w:t>
      </w:r>
      <w:r>
        <w:rPr>
          <w:rFonts w:ascii="Times New Roman" w:hAnsi="Times New Roman" w:eastAsia="宋体"/>
          <w:b/>
          <w:color w:val="000000"/>
          <w:sz w:val="24"/>
        </w:rPr>
        <w:t>结肠占位性病变：结肠癌待排</w:t>
      </w:r>
      <w:r>
        <w:rPr>
          <w:rFonts w:ascii="Times New Roman" w:hAnsi="Times New Roman" w:eastAsia="宋体"/>
          <w:b w:val="0"/>
          <w:color w:val="000000"/>
          <w:sz w:val="24"/>
        </w:rPr>
        <w:t>。</w:t>
      </w:r>
    </w:p>
    <w:p w14:paraId="02619122">
      <w:pPr>
        <w:pStyle w:val="4"/>
        <w:keepNext/>
        <w:spacing w:before="220" w:after="100" w:line="360" w:lineRule="auto"/>
      </w:pPr>
      <w:bookmarkStart w:id="3" w:name="_LarkToc00004"/>
      <w:r>
        <w:rPr>
          <w:rFonts w:ascii="Times New Roman" w:hAnsi="Times New Roman" w:eastAsia="黑体"/>
          <w:b/>
          <w:color w:val="000000"/>
          <w:sz w:val="28"/>
        </w:rPr>
        <w:t>3. 与患者沟通</w:t>
      </w:r>
      <w:bookmarkEnd w:id="3"/>
    </w:p>
    <w:p w14:paraId="3A849F2E">
      <w:pPr>
        <w:pStyle w:val="16"/>
        <w:spacing w:before="0" w:after="0" w:line="360" w:lineRule="auto"/>
      </w:pPr>
      <w:r>
        <w:rPr>
          <w:rFonts w:ascii="Times New Roman" w:hAnsi="Times New Roman" w:eastAsia="宋体"/>
          <w:b w:val="0"/>
          <w:color w:val="000000"/>
          <w:sz w:val="24"/>
        </w:rPr>
        <w:t>告知患者住院后追踪病理、完善分期检查，确诊后决定围手术期治疗方案。门诊已做检查资料带入病房，避免重复检查。</w:t>
      </w:r>
    </w:p>
    <w:p w14:paraId="4CC4E0B4">
      <w:pPr>
        <w:pStyle w:val="4"/>
        <w:keepNext/>
        <w:spacing w:before="220" w:after="100" w:line="360" w:lineRule="auto"/>
      </w:pPr>
      <w:bookmarkStart w:id="4" w:name="_LarkToc00005"/>
      <w:r>
        <w:rPr>
          <w:rFonts w:ascii="Times New Roman" w:hAnsi="Times New Roman" w:eastAsia="黑体"/>
          <w:b/>
          <w:color w:val="000000"/>
          <w:sz w:val="28"/>
        </w:rPr>
        <w:t>4. 办理入院</w:t>
      </w:r>
      <w:bookmarkEnd w:id="4"/>
    </w:p>
    <w:p w14:paraId="24B231D7">
      <w:pPr>
        <w:pStyle w:val="16"/>
        <w:spacing w:before="0" w:after="0" w:line="360" w:lineRule="auto"/>
        <w:rPr>
          <w:rFonts w:ascii="Times New Roman" w:hAnsi="Times New Roman" w:eastAsia="宋体"/>
          <w:b w:val="0"/>
          <w:color w:val="000000"/>
          <w:sz w:val="24"/>
        </w:rPr>
      </w:pPr>
      <w:r>
        <w:rPr>
          <w:rFonts w:ascii="Times New Roman" w:hAnsi="Times New Roman" w:eastAsia="宋体"/>
          <w:b w:val="0"/>
          <w:color w:val="000000"/>
          <w:sz w:val="24"/>
        </w:rPr>
        <w:t>收治科室通常为</w:t>
      </w:r>
      <w:r>
        <w:rPr>
          <w:rFonts w:ascii="Times New Roman" w:hAnsi="Times New Roman" w:eastAsia="宋体"/>
          <w:b/>
          <w:color w:val="000000"/>
          <w:sz w:val="24"/>
        </w:rPr>
        <w:t>结直肠</w:t>
      </w:r>
      <w:r>
        <w:rPr>
          <w:rFonts w:hint="eastAsia" w:ascii="Times New Roman" w:hAnsi="Times New Roman" w:eastAsia="宋体"/>
          <w:b/>
          <w:color w:val="000000"/>
          <w:sz w:val="24"/>
          <w:lang w:val="en-US" w:eastAsia="zh-CN"/>
        </w:rPr>
        <w:t>肛门</w:t>
      </w:r>
      <w:r>
        <w:rPr>
          <w:rFonts w:ascii="Times New Roman" w:hAnsi="Times New Roman" w:eastAsia="宋体"/>
          <w:b/>
          <w:color w:val="000000"/>
          <w:sz w:val="24"/>
        </w:rPr>
        <w:t>外科、胃肠外科</w:t>
      </w:r>
      <w:bookmarkStart w:id="5" w:name="_LarkToc00006"/>
    </w:p>
    <w:p w14:paraId="4F86155D">
      <w:pPr>
        <w:pStyle w:val="16"/>
        <w:spacing w:before="0" w:after="0" w:line="360" w:lineRule="auto"/>
        <w:rPr>
          <w:rFonts w:ascii="Times New Roman" w:hAnsi="Times New Roman" w:eastAsia="宋体"/>
          <w:b w:val="0"/>
          <w:color w:val="000000"/>
          <w:sz w:val="24"/>
        </w:rPr>
      </w:pPr>
      <w:r>
        <w:rPr>
          <w:rFonts w:ascii="Times New Roman" w:hAnsi="Times New Roman" w:eastAsia="宋体"/>
          <w:b w:val="0"/>
          <w:color w:val="000000"/>
          <w:sz w:val="24"/>
        </w:rPr>
        <w:t>持住院证到入院</w:t>
      </w:r>
      <w:r>
        <w:rPr>
          <w:rFonts w:hint="eastAsia" w:ascii="Times New Roman" w:hAnsi="Times New Roman" w:eastAsia="宋体"/>
          <w:b w:val="0"/>
          <w:color w:val="000000"/>
          <w:sz w:val="24"/>
          <w:lang w:val="en-US" w:eastAsia="zh-CN"/>
        </w:rPr>
        <w:t>处（住院部一楼）</w:t>
      </w:r>
      <w:r>
        <w:rPr>
          <w:rFonts w:ascii="Times New Roman" w:hAnsi="Times New Roman" w:eastAsia="宋体"/>
          <w:b w:val="0"/>
          <w:color w:val="000000"/>
          <w:sz w:val="24"/>
        </w:rPr>
        <w:t>或病区办理手续，完成医保登记</w:t>
      </w:r>
    </w:p>
    <w:p w14:paraId="3195D7D3">
      <w:pPr>
        <w:pStyle w:val="3"/>
        <w:keepNext/>
        <w:spacing w:before="280" w:after="120" w:line="360" w:lineRule="auto"/>
      </w:pPr>
      <w:r>
        <w:rPr>
          <w:rFonts w:ascii="Times New Roman" w:hAnsi="Times New Roman" w:eastAsia="黑体"/>
          <w:b/>
          <w:color w:val="000000"/>
          <w:sz w:val="32"/>
        </w:rPr>
        <w:t>二、住院后第1—3天：完善检查，追踪病理</w:t>
      </w:r>
      <w:bookmarkEnd w:id="5"/>
    </w:p>
    <w:p w14:paraId="6ECD19E6">
      <w:pPr>
        <w:pStyle w:val="4"/>
        <w:keepNext/>
        <w:spacing w:before="220" w:after="100" w:line="360" w:lineRule="auto"/>
      </w:pPr>
      <w:bookmarkStart w:id="6" w:name="_LarkToc00007"/>
      <w:r>
        <w:rPr>
          <w:rFonts w:ascii="Times New Roman" w:hAnsi="Times New Roman" w:eastAsia="黑体"/>
          <w:b/>
          <w:color w:val="000000"/>
          <w:sz w:val="28"/>
        </w:rPr>
        <w:t>1. 入院记录与查体</w:t>
      </w:r>
      <w:bookmarkEnd w:id="6"/>
    </w:p>
    <w:p w14:paraId="7C218DAF">
      <w:pPr>
        <w:pStyle w:val="16"/>
        <w:spacing w:before="0" w:after="0" w:line="360" w:lineRule="auto"/>
      </w:pPr>
      <w:r>
        <w:rPr>
          <w:rFonts w:ascii="Times New Roman" w:hAnsi="Times New Roman" w:eastAsia="宋体"/>
          <w:b w:val="0"/>
          <w:color w:val="000000"/>
          <w:sz w:val="24"/>
        </w:rPr>
        <w:t>病程记录应体现：门诊肠镜提示结肠占位/结肠癌可能，需住院进一步明确诊断、分期及围手术期治疗。</w:t>
      </w:r>
    </w:p>
    <w:p w14:paraId="2B108CB2">
      <w:pPr>
        <w:pStyle w:val="16"/>
        <w:spacing w:before="0" w:after="0" w:line="360" w:lineRule="auto"/>
      </w:pPr>
      <w:r>
        <w:rPr>
          <w:rFonts w:ascii="Times New Roman" w:hAnsi="Times New Roman" w:eastAsia="宋体"/>
          <w:b w:val="0"/>
          <w:color w:val="000000"/>
          <w:sz w:val="24"/>
        </w:rPr>
        <w:t>详细询问病史、查体，评估营养状态、贫血、合并症。</w:t>
      </w:r>
    </w:p>
    <w:p w14:paraId="5ADEACE0">
      <w:pPr>
        <w:pStyle w:val="16"/>
        <w:spacing w:before="0" w:after="0" w:line="360" w:lineRule="auto"/>
      </w:pPr>
      <w:r>
        <w:rPr>
          <w:rFonts w:ascii="Times New Roman" w:hAnsi="Times New Roman" w:eastAsia="宋体"/>
          <w:b w:val="0"/>
          <w:color w:val="000000"/>
          <w:sz w:val="24"/>
        </w:rPr>
        <w:t>重点记录：有无便血、排便习惯改变、腹痛、腹胀、肠梗阻表现。</w:t>
      </w:r>
    </w:p>
    <w:p w14:paraId="43FF5319">
      <w:pPr>
        <w:pStyle w:val="4"/>
        <w:keepNext/>
        <w:spacing w:before="220" w:after="100" w:line="360" w:lineRule="auto"/>
      </w:pPr>
      <w:bookmarkStart w:id="7" w:name="_LarkToc00008"/>
      <w:r>
        <w:rPr>
          <w:rFonts w:ascii="Times New Roman" w:hAnsi="Times New Roman" w:eastAsia="黑体"/>
          <w:b/>
          <w:color w:val="000000"/>
          <w:sz w:val="28"/>
        </w:rPr>
        <w:t>2. 追踪门诊病理</w:t>
      </w:r>
      <w:bookmarkEnd w:id="7"/>
    </w:p>
    <w:p w14:paraId="0B0DFDDC">
      <w:pPr>
        <w:pStyle w:val="16"/>
        <w:spacing w:before="0" w:after="0" w:line="360" w:lineRule="auto"/>
      </w:pPr>
      <w:r>
        <w:rPr>
          <w:rFonts w:ascii="Times New Roman" w:hAnsi="Times New Roman" w:eastAsia="宋体"/>
          <w:b w:val="0"/>
          <w:color w:val="000000"/>
          <w:sz w:val="24"/>
        </w:rPr>
        <w:t>如门诊肠镜已取活检，住院后重点追踪病理报告。如未取活检或需复查，住院后尽快安排肠镜+活检。</w:t>
      </w:r>
    </w:p>
    <w:p w14:paraId="56A88B31">
      <w:pPr>
        <w:pStyle w:val="4"/>
        <w:keepNext/>
        <w:spacing w:before="220" w:after="100" w:line="360" w:lineRule="auto"/>
      </w:pPr>
      <w:bookmarkStart w:id="8" w:name="_LarkToc00009"/>
      <w:r>
        <w:rPr>
          <w:rFonts w:ascii="Times New Roman" w:hAnsi="Times New Roman" w:eastAsia="黑体"/>
          <w:b/>
          <w:color w:val="000000"/>
          <w:sz w:val="28"/>
        </w:rPr>
        <w:t>3. 完善分期和术前检查</w:t>
      </w:r>
      <w:bookmarkEnd w:id="8"/>
    </w:p>
    <w:p w14:paraId="7F462C7D">
      <w:pPr>
        <w:spacing w:before="0" w:after="0" w:line="360" w:lineRule="auto"/>
        <w:jc w:val="both"/>
      </w:pPr>
      <w:r>
        <w:rPr>
          <w:rFonts w:ascii="Times New Roman" w:hAnsi="Times New Roman" w:eastAsia="宋体"/>
          <w:b/>
          <w:color w:val="000000"/>
          <w:sz w:val="24"/>
        </w:rPr>
        <w:t>必须完善的检查：</w:t>
      </w:r>
    </w:p>
    <w:p w14:paraId="508631B1">
      <w:pPr>
        <w:pStyle w:val="16"/>
        <w:spacing w:before="0" w:after="0" w:line="360" w:lineRule="auto"/>
      </w:pPr>
      <w:r>
        <w:rPr>
          <w:rFonts w:ascii="Times New Roman" w:hAnsi="Times New Roman" w:eastAsia="宋体"/>
          <w:b/>
          <w:color w:val="000000"/>
          <w:sz w:val="24"/>
        </w:rPr>
        <w:t>实验室</w:t>
      </w:r>
      <w:r>
        <w:rPr>
          <w:rFonts w:ascii="Times New Roman" w:hAnsi="Times New Roman" w:eastAsia="宋体"/>
          <w:b w:val="0"/>
          <w:color w:val="000000"/>
          <w:sz w:val="24"/>
        </w:rPr>
        <w:t>：血常规、肝肾功能、电解质、凝血功能、血型、感染筛查、肿瘤标志物CEA、CA19-9；</w:t>
      </w:r>
    </w:p>
    <w:p w14:paraId="1FDCC59D">
      <w:pPr>
        <w:pStyle w:val="16"/>
        <w:spacing w:before="0" w:after="0" w:line="360" w:lineRule="auto"/>
      </w:pPr>
      <w:r>
        <w:rPr>
          <w:rFonts w:ascii="Times New Roman" w:hAnsi="Times New Roman" w:eastAsia="宋体"/>
          <w:b/>
          <w:color w:val="000000"/>
          <w:sz w:val="24"/>
        </w:rPr>
        <w:t>影像</w:t>
      </w:r>
      <w:r>
        <w:rPr>
          <w:rFonts w:ascii="Times New Roman" w:hAnsi="Times New Roman" w:eastAsia="宋体"/>
          <w:b w:val="0"/>
          <w:color w:val="000000"/>
          <w:sz w:val="24"/>
        </w:rPr>
        <w:t>：</w:t>
      </w:r>
    </w:p>
    <w:p w14:paraId="1AD7A92C">
      <w:pPr>
        <w:pStyle w:val="23"/>
        <w:spacing w:before="0" w:after="0" w:line="360" w:lineRule="auto"/>
      </w:pPr>
      <w:r>
        <w:rPr>
          <w:rFonts w:ascii="Times New Roman" w:hAnsi="Times New Roman" w:eastAsia="宋体"/>
          <w:b/>
          <w:color w:val="000000"/>
          <w:sz w:val="24"/>
        </w:rPr>
        <w:t>腹部+盆腔增强CT、胸部CT</w:t>
      </w:r>
      <w:r>
        <w:rPr>
          <w:rFonts w:ascii="Times New Roman" w:hAnsi="Times New Roman" w:eastAsia="宋体"/>
          <w:b w:val="0"/>
          <w:color w:val="000000"/>
          <w:sz w:val="24"/>
        </w:rPr>
        <w:t>：结肠癌诊断和分期基本手段；</w:t>
      </w:r>
    </w:p>
    <w:p w14:paraId="4B313C29">
      <w:pPr>
        <w:pStyle w:val="23"/>
        <w:spacing w:before="0" w:after="0" w:line="360" w:lineRule="auto"/>
      </w:pPr>
      <w:r>
        <w:rPr>
          <w:rFonts w:ascii="Times New Roman" w:hAnsi="Times New Roman" w:eastAsia="宋体"/>
          <w:b w:val="0"/>
          <w:color w:val="000000"/>
          <w:sz w:val="24"/>
        </w:rPr>
        <w:t>怀疑肝转移时行</w:t>
      </w:r>
      <w:r>
        <w:rPr>
          <w:rFonts w:ascii="Times New Roman" w:hAnsi="Times New Roman" w:eastAsia="宋体"/>
          <w:b/>
          <w:color w:val="000000"/>
          <w:sz w:val="24"/>
        </w:rPr>
        <w:t>肝脏增强MRI</w:t>
      </w:r>
      <w:r>
        <w:rPr>
          <w:rFonts w:ascii="Times New Roman" w:hAnsi="Times New Roman" w:eastAsia="宋体"/>
          <w:b w:val="0"/>
          <w:color w:val="000000"/>
          <w:sz w:val="24"/>
        </w:rPr>
        <w:t>，推荐包含T2WI、DWI及多期T1加权增强成像序列；有条件者可直接选择肝脏细胞特异性对比剂增强MRI，更有助于检出1cm以下病灶；</w:t>
      </w:r>
    </w:p>
    <w:p w14:paraId="6195D94C">
      <w:pPr>
        <w:pStyle w:val="23"/>
        <w:spacing w:before="0" w:after="0" w:line="360" w:lineRule="auto"/>
      </w:pPr>
      <w:r>
        <w:rPr>
          <w:rFonts w:ascii="Times New Roman" w:hAnsi="Times New Roman" w:eastAsia="宋体"/>
          <w:b w:val="0"/>
          <w:color w:val="000000"/>
          <w:sz w:val="24"/>
        </w:rPr>
        <w:t>怀疑腹膜转移时，可考虑PET/CT或诊断性腹腔镜探查；</w:t>
      </w:r>
    </w:p>
    <w:p w14:paraId="19E27C73">
      <w:pPr>
        <w:pStyle w:val="23"/>
        <w:spacing w:before="0" w:after="0" w:line="360" w:lineRule="auto"/>
      </w:pPr>
      <w:r>
        <w:rPr>
          <w:rFonts w:ascii="Times New Roman" w:hAnsi="Times New Roman" w:eastAsia="宋体"/>
          <w:b w:val="0"/>
          <w:color w:val="000000"/>
          <w:sz w:val="24"/>
        </w:rPr>
        <w:t>必要时PET-CT，但不作为常规检查；</w:t>
      </w:r>
    </w:p>
    <w:p w14:paraId="10FEE5F3">
      <w:pPr>
        <w:pStyle w:val="16"/>
        <w:spacing w:before="0" w:after="0" w:line="360" w:lineRule="auto"/>
      </w:pPr>
      <w:r>
        <w:rPr>
          <w:rFonts w:ascii="Times New Roman" w:hAnsi="Times New Roman" w:eastAsia="宋体"/>
          <w:b/>
          <w:color w:val="000000"/>
          <w:sz w:val="24"/>
        </w:rPr>
        <w:t>心肺功能</w:t>
      </w:r>
      <w:r>
        <w:rPr>
          <w:rFonts w:ascii="Times New Roman" w:hAnsi="Times New Roman" w:eastAsia="宋体"/>
          <w:b w:val="0"/>
          <w:color w:val="000000"/>
          <w:sz w:val="24"/>
        </w:rPr>
        <w:t>：心电图、心脏超声、肺功能；</w:t>
      </w:r>
    </w:p>
    <w:p w14:paraId="449F2881">
      <w:pPr>
        <w:pStyle w:val="16"/>
        <w:spacing w:before="0" w:after="0" w:line="360" w:lineRule="auto"/>
      </w:pPr>
      <w:r>
        <w:rPr>
          <w:rFonts w:ascii="Times New Roman" w:hAnsi="Times New Roman" w:eastAsia="宋体"/>
          <w:b/>
          <w:color w:val="000000"/>
          <w:sz w:val="24"/>
        </w:rPr>
        <w:t>营养评估</w:t>
      </w:r>
      <w:r>
        <w:rPr>
          <w:rFonts w:ascii="Times New Roman" w:hAnsi="Times New Roman" w:eastAsia="宋体"/>
          <w:b w:val="0"/>
          <w:color w:val="000000"/>
          <w:sz w:val="24"/>
        </w:rPr>
        <w:t>：白蛋白、前白蛋白、体重变化，NRS-2002、PG-SGA。</w:t>
      </w:r>
    </w:p>
    <w:p w14:paraId="27CDD185">
      <w:pPr>
        <w:pStyle w:val="4"/>
        <w:keepNext/>
        <w:spacing w:before="220" w:after="100" w:line="360" w:lineRule="auto"/>
      </w:pPr>
      <w:bookmarkStart w:id="9" w:name="_LarkToc00010"/>
      <w:r>
        <w:rPr>
          <w:rFonts w:ascii="Times New Roman" w:hAnsi="Times New Roman" w:eastAsia="黑体"/>
          <w:b/>
          <w:color w:val="000000"/>
          <w:sz w:val="28"/>
        </w:rPr>
        <w:t>4. 分子病理检测（2026版指南重点更新）</w:t>
      </w:r>
      <w:bookmarkEnd w:id="9"/>
    </w:p>
    <w:p w14:paraId="7D80B55C">
      <w:pPr>
        <w:pStyle w:val="16"/>
        <w:spacing w:before="0" w:after="0" w:line="360" w:lineRule="auto"/>
      </w:pPr>
      <w:r>
        <w:rPr>
          <w:rFonts w:ascii="Times New Roman" w:hAnsi="Times New Roman" w:eastAsia="宋体"/>
          <w:b w:val="0"/>
          <w:color w:val="000000"/>
          <w:sz w:val="24"/>
        </w:rPr>
        <w:t>所有确诊的转移性结直肠癌</w:t>
      </w:r>
      <w:r>
        <w:rPr>
          <w:rFonts w:ascii="Times New Roman" w:hAnsi="Times New Roman" w:eastAsia="宋体"/>
          <w:b/>
          <w:color w:val="000000"/>
          <w:sz w:val="24"/>
        </w:rPr>
        <w:t>必须</w:t>
      </w:r>
      <w:r>
        <w:rPr>
          <w:rFonts w:ascii="Times New Roman" w:hAnsi="Times New Roman" w:eastAsia="宋体"/>
          <w:b w:val="0"/>
          <w:color w:val="000000"/>
          <w:sz w:val="24"/>
        </w:rPr>
        <w:t>进行</w:t>
      </w:r>
      <w:r>
        <w:rPr>
          <w:rFonts w:ascii="Times New Roman" w:hAnsi="Times New Roman" w:eastAsia="宋体"/>
          <w:b/>
          <w:color w:val="000000"/>
          <w:sz w:val="24"/>
        </w:rPr>
        <w:t>MMR/MSI检测</w:t>
      </w:r>
      <w:r>
        <w:rPr>
          <w:rFonts w:ascii="Times New Roman" w:hAnsi="Times New Roman" w:eastAsia="宋体"/>
          <w:b w:val="0"/>
          <w:color w:val="000000"/>
          <w:sz w:val="24"/>
        </w:rPr>
        <w:t>及</w:t>
      </w:r>
      <w:r>
        <w:rPr>
          <w:rFonts w:ascii="Times New Roman" w:hAnsi="Times New Roman" w:eastAsia="宋体"/>
          <w:b/>
          <w:color w:val="000000"/>
          <w:sz w:val="24"/>
        </w:rPr>
        <w:t>RAS、BRAF基因状态检测</w:t>
      </w:r>
      <w:r>
        <w:rPr>
          <w:rFonts w:ascii="Times New Roman" w:hAnsi="Times New Roman" w:eastAsia="宋体"/>
          <w:b w:val="0"/>
          <w:color w:val="000000"/>
          <w:sz w:val="24"/>
        </w:rPr>
        <w:t>，证据级别ⅠA。</w:t>
      </w:r>
    </w:p>
    <w:p w14:paraId="562073A8">
      <w:pPr>
        <w:pStyle w:val="16"/>
        <w:spacing w:before="0" w:after="0" w:line="360" w:lineRule="auto"/>
      </w:pPr>
      <w:r>
        <w:rPr>
          <w:rFonts w:ascii="Times New Roman" w:hAnsi="Times New Roman" w:eastAsia="宋体"/>
          <w:b w:val="0"/>
          <w:color w:val="000000"/>
          <w:sz w:val="24"/>
        </w:rPr>
        <w:t>对于局部进展期拟行新辅助治疗及所有拟行免疫治疗的患者，</w:t>
      </w:r>
      <w:r>
        <w:rPr>
          <w:rFonts w:ascii="Times New Roman" w:hAnsi="Times New Roman" w:eastAsia="宋体"/>
          <w:b/>
          <w:color w:val="000000"/>
          <w:sz w:val="24"/>
        </w:rPr>
        <w:t>强制要求检测dMMR/MSI状态</w:t>
      </w:r>
      <w:r>
        <w:rPr>
          <w:rFonts w:ascii="Times New Roman" w:hAnsi="Times New Roman" w:eastAsia="宋体"/>
          <w:b w:val="0"/>
          <w:color w:val="000000"/>
          <w:sz w:val="24"/>
        </w:rPr>
        <w:t>。</w:t>
      </w:r>
    </w:p>
    <w:p w14:paraId="4B649871">
      <w:pPr>
        <w:spacing w:before="0" w:after="0" w:line="360" w:lineRule="auto"/>
        <w:jc w:val="both"/>
      </w:pPr>
      <w:r>
        <w:rPr>
          <w:rFonts w:ascii="Times New Roman" w:hAnsi="Times New Roman" w:eastAsia="宋体"/>
          <w:b/>
          <w:color w:val="000000"/>
          <w:sz w:val="24"/>
        </w:rPr>
        <w:t>2026版指南病理学诊断原则：</w:t>
      </w:r>
    </w:p>
    <w:p w14:paraId="7FBE4FA6">
      <w:pPr>
        <w:pStyle w:val="16"/>
        <w:spacing w:before="0" w:after="0" w:line="360" w:lineRule="auto"/>
      </w:pPr>
      <w:r>
        <w:rPr>
          <w:rFonts w:ascii="Times New Roman" w:hAnsi="Times New Roman" w:eastAsia="宋体"/>
          <w:b/>
          <w:color w:val="000000"/>
          <w:sz w:val="24"/>
        </w:rPr>
        <w:t>根治术标本Ⅰ级推荐</w:t>
      </w:r>
      <w:r>
        <w:rPr>
          <w:rFonts w:ascii="Times New Roman" w:hAnsi="Times New Roman" w:eastAsia="宋体"/>
          <w:b w:val="0"/>
          <w:color w:val="000000"/>
          <w:sz w:val="24"/>
        </w:rPr>
        <w:t>：MMR蛋白表达/MSI、RAS和BRAF基因突变检测；</w:t>
      </w:r>
    </w:p>
    <w:p w14:paraId="628B4AB4">
      <w:pPr>
        <w:pStyle w:val="16"/>
        <w:spacing w:before="0" w:after="0" w:line="360" w:lineRule="auto"/>
      </w:pPr>
      <w:r>
        <w:rPr>
          <w:rFonts w:ascii="Times New Roman" w:hAnsi="Times New Roman" w:eastAsia="宋体"/>
          <w:b/>
          <w:color w:val="000000"/>
          <w:sz w:val="24"/>
        </w:rPr>
        <w:t>转移性结直肠癌手术/活检标本Ⅰ级推荐</w:t>
      </w:r>
      <w:r>
        <w:rPr>
          <w:rFonts w:ascii="Times New Roman" w:hAnsi="Times New Roman" w:eastAsia="宋体"/>
          <w:b w:val="0"/>
          <w:color w:val="000000"/>
          <w:sz w:val="24"/>
        </w:rPr>
        <w:t>：MMR/MSI、RAS和BRAF基因突变检测；</w:t>
      </w:r>
    </w:p>
    <w:p w14:paraId="61A96CE3">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：HER-2状态、NTRK和RET融合、POLE/POLD1基因突变检测；</w:t>
      </w:r>
    </w:p>
    <w:p w14:paraId="3C22894F">
      <w:pPr>
        <w:pStyle w:val="16"/>
        <w:spacing w:before="0" w:after="0" w:line="360" w:lineRule="auto"/>
      </w:pPr>
      <w:r>
        <w:rPr>
          <w:rFonts w:ascii="Times New Roman" w:hAnsi="Times New Roman" w:eastAsia="宋体"/>
          <w:b w:val="0"/>
          <w:color w:val="000000"/>
          <w:sz w:val="24"/>
        </w:rPr>
        <w:t>标准治疗失败后或入组临床试验前，可考虑HER-2免疫组化及NGS帮助指导后续药物选择。</w:t>
      </w:r>
    </w:p>
    <w:p w14:paraId="0CF3EE13">
      <w:pPr>
        <w:pStyle w:val="16"/>
        <w:spacing w:before="0" w:after="0" w:line="360" w:lineRule="auto"/>
      </w:pPr>
      <w:r>
        <w:rPr>
          <w:rFonts w:ascii="Times New Roman" w:hAnsi="Times New Roman" w:eastAsia="宋体"/>
          <w:b/>
          <w:color w:val="000000"/>
          <w:sz w:val="24"/>
        </w:rPr>
        <w:t>对于本流程中的非转移性结肠癌患者，入院后应尽早完成MMR/MSI检测</w:t>
      </w:r>
      <w:r>
        <w:rPr>
          <w:rFonts w:ascii="Times New Roman" w:hAnsi="Times New Roman" w:eastAsia="宋体"/>
          <w:b w:val="0"/>
          <w:color w:val="000000"/>
          <w:sz w:val="24"/>
        </w:rPr>
        <w:t>，因为检测结果直接决定围手术期治疗路径——这是2026版指南与既往版本最大的实践差异。</w:t>
      </w:r>
    </w:p>
    <w:p w14:paraId="72E032BD">
      <w:pPr>
        <w:pStyle w:val="16"/>
        <w:spacing w:before="0" w:after="0" w:line="360" w:lineRule="auto"/>
      </w:pPr>
      <w:r>
        <w:rPr>
          <w:rFonts w:ascii="Times New Roman" w:hAnsi="Times New Roman" w:eastAsia="宋体"/>
          <w:b/>
          <w:color w:val="000000"/>
          <w:sz w:val="24"/>
        </w:rPr>
        <w:t>RAS和BRAF基因突变检测</w:t>
      </w:r>
      <w:r>
        <w:rPr>
          <w:rFonts w:ascii="Times New Roman" w:hAnsi="Times New Roman" w:eastAsia="宋体"/>
          <w:b w:val="0"/>
          <w:color w:val="000000"/>
          <w:sz w:val="24"/>
        </w:rPr>
        <w:t>：检测位点包括KRAS和NRAS基因的第2、3、4号外显子及BRAF基因的V600E。结直肠癌原发灶与转移灶的RAS和BRAF基因状态一致性较好，基于样本的可获取性，原发灶及转移灶均可进行检测。</w:t>
      </w:r>
    </w:p>
    <w:p w14:paraId="33D7CB2B">
      <w:pPr>
        <w:pStyle w:val="16"/>
        <w:spacing w:before="0" w:after="0" w:line="360" w:lineRule="auto"/>
      </w:pPr>
      <w:r>
        <w:rPr>
          <w:rFonts w:ascii="Times New Roman" w:hAnsi="Times New Roman" w:eastAsia="宋体"/>
          <w:b/>
          <w:color w:val="000000"/>
          <w:sz w:val="24"/>
        </w:rPr>
        <w:t>HER-2状态检测</w:t>
      </w:r>
      <w:r>
        <w:rPr>
          <w:rFonts w:ascii="Times New Roman" w:hAnsi="Times New Roman" w:eastAsia="宋体"/>
          <w:b w:val="0"/>
          <w:color w:val="000000"/>
          <w:sz w:val="24"/>
        </w:rPr>
        <w:t>：有条件的情况下，对标准治疗后失败的结直肠癌患者可以进行HER-2状态检测。HER-2状态的检测方法类似乳腺癌和胃癌，可以采用免疫组织化学和FISH的方法。</w:t>
      </w:r>
    </w:p>
    <w:p w14:paraId="69FA736B">
      <w:pPr>
        <w:pStyle w:val="16"/>
        <w:spacing w:before="0" w:after="0" w:line="360" w:lineRule="auto"/>
      </w:pPr>
      <w:r>
        <w:rPr>
          <w:rFonts w:ascii="Times New Roman" w:hAnsi="Times New Roman" w:eastAsia="宋体"/>
          <w:b/>
          <w:color w:val="000000"/>
          <w:sz w:val="24"/>
        </w:rPr>
        <w:t>NTRK和RET融合检测</w:t>
      </w:r>
      <w:r>
        <w:rPr>
          <w:rFonts w:ascii="Times New Roman" w:hAnsi="Times New Roman" w:eastAsia="宋体"/>
          <w:b w:val="0"/>
          <w:color w:val="000000"/>
          <w:sz w:val="24"/>
        </w:rPr>
        <w:t>：NTRK基因融合在结直肠癌中罕见，发生率约为0.35%，仅限于RAS和BRAF野生型的结直肠癌，且绝大多数为dMMR/MSI-H的结直肠癌。RET基因融合在结直肠癌中的发生率不足1%。</w:t>
      </w:r>
    </w:p>
    <w:p w14:paraId="1FCA3166">
      <w:pPr>
        <w:pStyle w:val="16"/>
        <w:spacing w:before="0" w:after="0" w:line="360" w:lineRule="auto"/>
      </w:pPr>
      <w:r>
        <w:rPr>
          <w:rFonts w:ascii="Times New Roman" w:hAnsi="Times New Roman" w:eastAsia="宋体"/>
          <w:b/>
          <w:color w:val="000000"/>
          <w:sz w:val="24"/>
        </w:rPr>
        <w:t>POLE/POLD1基因突变检测</w:t>
      </w:r>
      <w:r>
        <w:rPr>
          <w:rFonts w:ascii="Times New Roman" w:hAnsi="Times New Roman" w:eastAsia="宋体"/>
          <w:b w:val="0"/>
          <w:color w:val="000000"/>
          <w:sz w:val="24"/>
        </w:rPr>
        <w:t>：2%—8%的MSS/pMMR型结直肠癌具有体细胞POLE功能性突变，而POLD1突变罕见。可以用单基因测序的方法进行检测，但大panel的NGS不仅可以检测到包括POLE/POLD1在内的基因改变，也可以获得TMB等数据。</w:t>
      </w:r>
    </w:p>
    <w:p w14:paraId="5E36BA0E">
      <w:pPr>
        <w:pStyle w:val="16"/>
        <w:spacing w:before="0" w:after="0" w:line="360" w:lineRule="auto"/>
      </w:pPr>
      <w:r>
        <w:rPr>
          <w:rFonts w:ascii="Times New Roman" w:hAnsi="Times New Roman" w:eastAsia="宋体"/>
          <w:b/>
          <w:color w:val="000000"/>
          <w:sz w:val="24"/>
        </w:rPr>
        <w:t>急诊情况处理</w:t>
      </w:r>
      <w:r>
        <w:rPr>
          <w:rFonts w:ascii="Times New Roman" w:hAnsi="Times New Roman" w:eastAsia="宋体"/>
          <w:b w:val="0"/>
          <w:color w:val="000000"/>
          <w:sz w:val="24"/>
        </w:rPr>
        <w:t>：若合并不完全性肠梗阻，需禁食、胃肠减压、补液、纠正电解质，必要时放置肠道支架或急诊手术。</w:t>
      </w:r>
    </w:p>
    <w:p w14:paraId="6A47A576">
      <w:pPr>
        <w:pStyle w:val="3"/>
        <w:keepNext/>
        <w:spacing w:before="280" w:after="120" w:line="360" w:lineRule="auto"/>
      </w:pPr>
      <w:bookmarkStart w:id="10" w:name="_LarkToc00011"/>
      <w:r>
        <w:rPr>
          <w:rFonts w:ascii="Times New Roman" w:hAnsi="Times New Roman" w:eastAsia="黑体"/>
          <w:b/>
          <w:color w:val="000000"/>
          <w:sz w:val="32"/>
        </w:rPr>
        <w:t>三、住院第3—7天：确诊、分期、MDT决策（2026版核心修订）</w:t>
      </w:r>
      <w:bookmarkEnd w:id="10"/>
    </w:p>
    <w:p w14:paraId="1751EA8C">
      <w:pPr>
        <w:pStyle w:val="4"/>
        <w:keepNext/>
        <w:spacing w:before="220" w:after="100" w:line="360" w:lineRule="auto"/>
      </w:pPr>
      <w:bookmarkStart w:id="11" w:name="_LarkToc00012"/>
      <w:r>
        <w:rPr>
          <w:rFonts w:ascii="Times New Roman" w:hAnsi="Times New Roman" w:eastAsia="黑体"/>
          <w:b/>
          <w:color w:val="000000"/>
          <w:sz w:val="28"/>
        </w:rPr>
        <w:t>1. 病理确诊</w:t>
      </w:r>
      <w:bookmarkEnd w:id="11"/>
    </w:p>
    <w:p w14:paraId="63470BBF">
      <w:pPr>
        <w:pStyle w:val="16"/>
        <w:spacing w:before="0" w:after="0" w:line="360" w:lineRule="auto"/>
      </w:pPr>
      <w:r>
        <w:rPr>
          <w:rFonts w:ascii="Times New Roman" w:hAnsi="Times New Roman" w:eastAsia="宋体"/>
          <w:b w:val="0"/>
          <w:color w:val="000000"/>
          <w:sz w:val="24"/>
        </w:rPr>
        <w:t>明确是否为结肠癌、类型、分化程度、Lauren分型（如适用）、肿瘤出芽、脉管/神经侵犯等。</w:t>
      </w:r>
    </w:p>
    <w:p w14:paraId="40403131">
      <w:pPr>
        <w:pStyle w:val="16"/>
        <w:spacing w:before="0" w:after="0" w:line="360" w:lineRule="auto"/>
      </w:pPr>
      <w:r>
        <w:rPr>
          <w:rFonts w:ascii="Times New Roman" w:hAnsi="Times New Roman" w:eastAsia="宋体"/>
          <w:b w:val="0"/>
          <w:color w:val="000000"/>
          <w:sz w:val="24"/>
        </w:rPr>
        <w:t>结直肠癌组织学分型参考WHO消化系统肿瘤分类2019版。绝大部分结直肠癌是非特殊类型腺癌。</w:t>
      </w:r>
    </w:p>
    <w:p w14:paraId="25A99696">
      <w:pPr>
        <w:pStyle w:val="16"/>
        <w:spacing w:before="0" w:after="0" w:line="360" w:lineRule="auto"/>
      </w:pPr>
      <w:r>
        <w:rPr>
          <w:rFonts w:ascii="Times New Roman" w:hAnsi="Times New Roman" w:eastAsia="宋体"/>
          <w:b w:val="0"/>
          <w:color w:val="000000"/>
          <w:sz w:val="24"/>
        </w:rPr>
        <w:t>组织学分级包括传统的4级分法和WHO分类的2级分法，基于腺体形成的程度。</w:t>
      </w:r>
    </w:p>
    <w:p w14:paraId="2D44BB9F">
      <w:pPr>
        <w:pStyle w:val="16"/>
        <w:spacing w:before="0" w:after="0" w:line="360" w:lineRule="auto"/>
      </w:pPr>
      <w:r>
        <w:rPr>
          <w:rFonts w:ascii="Times New Roman" w:hAnsi="Times New Roman" w:eastAsia="宋体"/>
          <w:b w:val="0"/>
          <w:color w:val="000000"/>
          <w:sz w:val="24"/>
        </w:rPr>
        <w:t>TNM病理分期（pTNM）采用AJCC第8版。</w:t>
      </w:r>
    </w:p>
    <w:p w14:paraId="78B6CE22">
      <w:pPr>
        <w:pStyle w:val="4"/>
        <w:keepNext/>
        <w:spacing w:before="220" w:after="100" w:line="360" w:lineRule="auto"/>
      </w:pPr>
      <w:bookmarkStart w:id="12" w:name="_LarkToc00013"/>
      <w:r>
        <w:rPr>
          <w:rFonts w:ascii="Times New Roman" w:hAnsi="Times New Roman" w:eastAsia="黑体"/>
          <w:b/>
          <w:color w:val="000000"/>
          <w:sz w:val="28"/>
        </w:rPr>
        <w:t>2. 临床分期与分子分型</w:t>
      </w:r>
      <w:bookmarkEnd w:id="12"/>
    </w:p>
    <w:p w14:paraId="6E7034AD">
      <w:pPr>
        <w:pStyle w:val="16"/>
        <w:spacing w:before="0" w:after="0" w:line="360" w:lineRule="auto"/>
      </w:pPr>
      <w:r>
        <w:rPr>
          <w:rFonts w:ascii="Times New Roman" w:hAnsi="Times New Roman" w:eastAsia="宋体"/>
          <w:b w:val="0"/>
          <w:color w:val="000000"/>
          <w:sz w:val="24"/>
        </w:rPr>
        <w:t>结合CT、MRI判断临床分期；结合MMR/MSI检测结果进行</w:t>
      </w:r>
      <w:r>
        <w:rPr>
          <w:rFonts w:ascii="Times New Roman" w:hAnsi="Times New Roman" w:eastAsia="宋体"/>
          <w:b/>
          <w:color w:val="000000"/>
          <w:sz w:val="24"/>
        </w:rPr>
        <w:t>分子分型</w:t>
      </w:r>
      <w:r>
        <w:rPr>
          <w:rFonts w:ascii="Times New Roman" w:hAnsi="Times New Roman" w:eastAsia="宋体"/>
          <w:b w:val="0"/>
          <w:color w:val="000000"/>
          <w:sz w:val="24"/>
        </w:rPr>
        <w:t>。2026版指南首次将“分期-分子-临床”作为三维决策体系，分子分型不再是可选项目，而是治疗决策的必要依据。</w:t>
      </w:r>
    </w:p>
    <w:p w14:paraId="20E7C5E5">
      <w:pPr>
        <w:pStyle w:val="4"/>
        <w:keepNext/>
        <w:spacing w:before="220" w:after="100" w:line="360" w:lineRule="auto"/>
      </w:pPr>
      <w:bookmarkStart w:id="13" w:name="_LarkToc00014"/>
      <w:r>
        <w:rPr>
          <w:rFonts w:ascii="Times New Roman" w:hAnsi="Times New Roman" w:eastAsia="黑体"/>
          <w:b/>
          <w:color w:val="000000"/>
          <w:sz w:val="28"/>
        </w:rPr>
        <w:t>3. MDT多学科会诊</w:t>
      </w:r>
      <w:bookmarkEnd w:id="13"/>
    </w:p>
    <w:p w14:paraId="26774F3D">
      <w:pPr>
        <w:pStyle w:val="16"/>
        <w:spacing w:before="0" w:after="0" w:line="360" w:lineRule="auto"/>
      </w:pPr>
      <w:r>
        <w:rPr>
          <w:rFonts w:ascii="Times New Roman" w:hAnsi="Times New Roman" w:eastAsia="宋体"/>
          <w:b w:val="0"/>
          <w:color w:val="000000"/>
          <w:sz w:val="24"/>
        </w:rPr>
        <w:t>结直肠外科、肿瘤内科、影像科、病理科共同讨论。</w:t>
      </w:r>
    </w:p>
    <w:p w14:paraId="60E172D6">
      <w:pPr>
        <w:pStyle w:val="16"/>
        <w:spacing w:before="0" w:after="0" w:line="360" w:lineRule="auto"/>
      </w:pPr>
      <w:r>
        <w:rPr>
          <w:rFonts w:ascii="Times New Roman" w:hAnsi="Times New Roman" w:eastAsia="宋体"/>
          <w:b w:val="0"/>
          <w:color w:val="000000"/>
          <w:sz w:val="24"/>
        </w:rPr>
        <w:t>MDT学科构成：外科（结直肠外科、胃肠外科、普外科）、肝胆外科、肿瘤内科、放射治疗科、影像科、胸外科、介入治疗科、病理科、内镜科、超声科等。</w:t>
      </w:r>
    </w:p>
    <w:p w14:paraId="569DA3FE">
      <w:pPr>
        <w:pStyle w:val="16"/>
        <w:spacing w:before="0" w:after="0" w:line="360" w:lineRule="auto"/>
      </w:pPr>
      <w:r>
        <w:rPr>
          <w:rFonts w:ascii="Times New Roman" w:hAnsi="Times New Roman" w:eastAsia="宋体"/>
          <w:b w:val="0"/>
          <w:color w:val="000000"/>
          <w:sz w:val="24"/>
        </w:rPr>
        <w:t>MDT讨论内容：仅有肝转移的患者、转移瘤潜在可切除的患者、中低位直肠癌患者需要特殊辅助治疗决策的患者、直肠癌局部复发患者、主管医师认为需要MDT的患者、推荐进入临床研究的患者、少见病例。</w:t>
      </w:r>
    </w:p>
    <w:p w14:paraId="0FB15390">
      <w:pPr>
        <w:pStyle w:val="16"/>
        <w:spacing w:before="0" w:after="0" w:line="360" w:lineRule="auto"/>
      </w:pPr>
      <w:r>
        <w:rPr>
          <w:rFonts w:ascii="Times New Roman" w:hAnsi="Times New Roman" w:eastAsia="宋体"/>
          <w:b w:val="0"/>
          <w:color w:val="000000"/>
          <w:sz w:val="24"/>
        </w:rPr>
        <w:t>MDT日常活动：固定学科/固定专家、固定时间（建议每1—2周1次）、固定场所、固定设备。</w:t>
      </w:r>
    </w:p>
    <w:p w14:paraId="65B22DA9">
      <w:pPr>
        <w:pStyle w:val="4"/>
        <w:keepNext/>
        <w:spacing w:before="220" w:after="100" w:line="360" w:lineRule="auto"/>
      </w:pPr>
      <w:bookmarkStart w:id="14" w:name="_LarkToc00015"/>
      <w:r>
        <w:rPr>
          <w:rFonts w:ascii="Times New Roman" w:hAnsi="Times New Roman" w:eastAsia="黑体"/>
          <w:b/>
          <w:color w:val="000000"/>
          <w:sz w:val="28"/>
        </w:rPr>
        <w:t>4. 围手术期治疗方案制定（按分子分型分层）</w:t>
      </w:r>
      <w:bookmarkEnd w:id="14"/>
    </w:p>
    <w:p w14:paraId="32DA29DA">
      <w:pPr>
        <w:pStyle w:val="5"/>
        <w:keepNext/>
        <w:spacing w:before="180" w:after="80" w:line="360" w:lineRule="auto"/>
      </w:pPr>
      <w:r>
        <w:rPr>
          <w:rFonts w:ascii="Times New Roman" w:hAnsi="Times New Roman" w:eastAsia="黑体"/>
          <w:b/>
          <w:color w:val="000000"/>
          <w:sz w:val="24"/>
        </w:rPr>
        <w:t>（1）MSI-H/dMMR患者（2026版新增Ⅰ级推荐）</w:t>
      </w:r>
    </w:p>
    <w:p w14:paraId="0CF8F1C3">
      <w:pPr>
        <w:spacing w:before="0" w:after="0" w:line="360" w:lineRule="auto"/>
        <w:ind w:firstLine="482" w:firstLineChars="200"/>
        <w:jc w:val="both"/>
      </w:pPr>
      <w:r>
        <w:rPr>
          <w:rFonts w:ascii="Times New Roman" w:hAnsi="Times New Roman" w:eastAsia="宋体"/>
          <w:b/>
          <w:color w:val="000000"/>
          <w:sz w:val="24"/>
        </w:rPr>
        <w:t>⚠️ 以下为2026版指南最关键的修订内容，必须严格执行。</w:t>
      </w:r>
    </w:p>
    <w:p w14:paraId="00586175">
      <w:pPr>
        <w:pStyle w:val="16"/>
        <w:spacing w:before="0" w:after="0" w:line="360" w:lineRule="auto"/>
      </w:pPr>
      <w:r>
        <w:rPr>
          <w:rFonts w:ascii="Times New Roman" w:hAnsi="Times New Roman" w:eastAsia="宋体"/>
          <w:b/>
          <w:color w:val="000000"/>
          <w:sz w:val="24"/>
        </w:rPr>
        <w:t>cT1—3N0患者</w:t>
      </w:r>
      <w:r>
        <w:rPr>
          <w:rFonts w:ascii="Times New Roman" w:hAnsi="Times New Roman" w:eastAsia="宋体"/>
          <w:b w:val="0"/>
          <w:color w:val="000000"/>
          <w:sz w:val="24"/>
        </w:rPr>
        <w:t>：Ⅰ级推荐为</w:t>
      </w:r>
      <w:r>
        <w:rPr>
          <w:rFonts w:ascii="Times New Roman" w:hAnsi="Times New Roman" w:eastAsia="宋体"/>
          <w:b/>
          <w:color w:val="000000"/>
          <w:sz w:val="24"/>
        </w:rPr>
        <w:t>结肠切除术+区域淋巴结清扫术</w:t>
      </w:r>
      <w:r>
        <w:rPr>
          <w:rFonts w:ascii="Times New Roman" w:hAnsi="Times New Roman" w:eastAsia="宋体"/>
          <w:b w:val="0"/>
          <w:color w:val="000000"/>
          <w:sz w:val="24"/>
        </w:rPr>
        <w:t>（直接手术）。</w:t>
      </w:r>
    </w:p>
    <w:p w14:paraId="00F297BB">
      <w:pPr>
        <w:pStyle w:val="16"/>
        <w:spacing w:before="0" w:after="0" w:line="360" w:lineRule="auto"/>
      </w:pPr>
      <w:r>
        <w:rPr>
          <w:rFonts w:ascii="Times New Roman" w:hAnsi="Times New Roman" w:eastAsia="宋体"/>
          <w:b/>
          <w:color w:val="000000"/>
          <w:sz w:val="24"/>
        </w:rPr>
        <w:t>cT4或N+患者</w:t>
      </w:r>
      <w:r>
        <w:rPr>
          <w:rFonts w:ascii="Times New Roman" w:hAnsi="Times New Roman" w:eastAsia="宋体"/>
          <w:b w:val="0"/>
          <w:color w:val="000000"/>
          <w:sz w:val="24"/>
        </w:rPr>
        <w:t>：Ⅰ级推荐为</w:t>
      </w:r>
      <w:r>
        <w:rPr>
          <w:rFonts w:ascii="Times New Roman" w:hAnsi="Times New Roman" w:eastAsia="宋体"/>
          <w:b/>
          <w:color w:val="000000"/>
          <w:sz w:val="24"/>
        </w:rPr>
        <w:t>先行信迪利单抗+伊匹木单抗N01治疗，然后行根治性手术</w:t>
      </w:r>
      <w:r>
        <w:rPr>
          <w:rFonts w:ascii="Times New Roman" w:hAnsi="Times New Roman" w:eastAsia="宋体"/>
          <w:b w:val="0"/>
          <w:color w:val="000000"/>
          <w:sz w:val="24"/>
        </w:rPr>
        <w:t>。这是2026版指南将新辅助双免疫治疗正式纳入Ⅰ级推荐的重要更新，改变了既往“确诊即手术”的路径。</w:t>
      </w:r>
    </w:p>
    <w:p w14:paraId="2299BE03">
      <w:pPr>
        <w:pStyle w:val="16"/>
        <w:spacing w:before="0" w:after="0" w:line="360" w:lineRule="auto"/>
      </w:pPr>
      <w:r>
        <w:rPr>
          <w:rFonts w:ascii="Times New Roman" w:hAnsi="Times New Roman" w:eastAsia="宋体"/>
          <w:b/>
          <w:color w:val="000000"/>
          <w:sz w:val="24"/>
        </w:rPr>
        <w:t>cT4b患者</w:t>
      </w:r>
      <w:r>
        <w:rPr>
          <w:rFonts w:ascii="Times New Roman" w:hAnsi="Times New Roman" w:eastAsia="宋体"/>
          <w:b w:val="0"/>
          <w:color w:val="000000"/>
          <w:sz w:val="24"/>
        </w:rPr>
        <w:t>：Ⅱ级推荐为</w:t>
      </w:r>
      <w:r>
        <w:rPr>
          <w:rFonts w:ascii="Times New Roman" w:hAnsi="Times New Roman" w:eastAsia="宋体"/>
          <w:b/>
          <w:color w:val="000000"/>
          <w:sz w:val="24"/>
        </w:rPr>
        <w:t>先行纳武利尤单抗+伊匹木单抗，或单药PD-1单抗治疗，然后行根治性手术</w:t>
      </w:r>
      <w:r>
        <w:rPr>
          <w:rFonts w:ascii="Times New Roman" w:hAnsi="Times New Roman" w:eastAsia="宋体"/>
          <w:b w:val="0"/>
          <w:color w:val="000000"/>
          <w:sz w:val="24"/>
        </w:rPr>
        <w:t>。</w:t>
      </w:r>
    </w:p>
    <w:p w14:paraId="1215B6D1">
      <w:pPr>
        <w:spacing w:before="0" w:after="0" w:line="360" w:lineRule="auto"/>
        <w:jc w:val="both"/>
      </w:pPr>
      <w:r>
        <w:rPr>
          <w:rFonts w:ascii="Times New Roman" w:hAnsi="Times New Roman" w:eastAsia="宋体"/>
          <w:b/>
          <w:color w:val="000000"/>
          <w:sz w:val="24"/>
        </w:rPr>
        <w:t>特别说明：</w:t>
      </w:r>
    </w:p>
    <w:p w14:paraId="2730C530">
      <w:pPr>
        <w:pStyle w:val="16"/>
        <w:spacing w:before="0" w:after="0" w:line="360" w:lineRule="auto"/>
      </w:pPr>
      <w:r>
        <w:rPr>
          <w:rFonts w:ascii="Times New Roman" w:hAnsi="Times New Roman" w:eastAsia="宋体"/>
          <w:b w:val="0"/>
          <w:color w:val="000000"/>
          <w:sz w:val="24"/>
        </w:rPr>
        <w:t>对于可根治切除的dMMR/MSI-H患者，目前已有数个Ⅱ期研究提示新辅助免疫治疗可带来97%—100%的主要病理缓解（MPR）和65%—88%的病理完全缓解（pCR）率。</w:t>
      </w:r>
    </w:p>
    <w:p w14:paraId="15D72C35">
      <w:pPr>
        <w:pStyle w:val="16"/>
        <w:spacing w:before="0" w:after="0" w:line="360" w:lineRule="auto"/>
      </w:pPr>
      <w:r>
        <w:rPr>
          <w:rFonts w:ascii="Times New Roman" w:hAnsi="Times New Roman" w:eastAsia="宋体"/>
          <w:b w:val="0"/>
          <w:color w:val="000000"/>
          <w:sz w:val="24"/>
        </w:rPr>
        <w:t>信迪利单抗联合伊匹木单抗N01已在国内获批用于可手术切除的ⅡB—Ⅲ期微卫星高度不稳定型（MSI-H）或错配修复缺陷型（dMMR）结肠癌患者的新辅助治疗。</w:t>
      </w:r>
    </w:p>
    <w:p w14:paraId="27E4D060">
      <w:pPr>
        <w:pStyle w:val="5"/>
        <w:keepNext/>
        <w:spacing w:before="180" w:after="80" w:line="360" w:lineRule="auto"/>
      </w:pPr>
      <w:r>
        <w:rPr>
          <w:rFonts w:ascii="Times New Roman" w:hAnsi="Times New Roman" w:eastAsia="黑体"/>
          <w:b/>
          <w:color w:val="000000"/>
          <w:sz w:val="24"/>
        </w:rPr>
        <w:t>（2）MSS或MSI-L/pMMR患者</w:t>
      </w:r>
    </w:p>
    <w:p w14:paraId="492C4E3F">
      <w:pPr>
        <w:pStyle w:val="16"/>
        <w:spacing w:before="0" w:after="0" w:line="360" w:lineRule="auto"/>
      </w:pPr>
      <w:r>
        <w:rPr>
          <w:rFonts w:ascii="Times New Roman" w:hAnsi="Times New Roman" w:eastAsia="宋体"/>
          <w:b/>
          <w:color w:val="000000"/>
          <w:sz w:val="24"/>
        </w:rPr>
        <w:t>早期（cT1—3N0）</w:t>
      </w:r>
      <w:r>
        <w:rPr>
          <w:rFonts w:ascii="Times New Roman" w:hAnsi="Times New Roman" w:eastAsia="宋体"/>
          <w:b w:val="0"/>
          <w:color w:val="000000"/>
          <w:sz w:val="24"/>
        </w:rPr>
        <w:t>：结肠切除术+区域淋巴结清扫术。</w:t>
      </w:r>
    </w:p>
    <w:p w14:paraId="41C5F8C4">
      <w:pPr>
        <w:pStyle w:val="16"/>
        <w:spacing w:before="0" w:after="0" w:line="360" w:lineRule="auto"/>
      </w:pPr>
      <w:r>
        <w:rPr>
          <w:rFonts w:ascii="Times New Roman" w:hAnsi="Times New Roman" w:eastAsia="宋体"/>
          <w:b/>
          <w:color w:val="000000"/>
          <w:sz w:val="24"/>
        </w:rPr>
        <w:t>cT4b期MSS/pMMR</w:t>
      </w:r>
      <w:r>
        <w:rPr>
          <w:rFonts w:ascii="Times New Roman" w:hAnsi="Times New Roman" w:eastAsia="宋体"/>
          <w:b w:val="0"/>
          <w:color w:val="000000"/>
          <w:sz w:val="24"/>
        </w:rPr>
        <w:t>：</w:t>
      </w:r>
      <w:r>
        <w:rPr>
          <w:rFonts w:ascii="Times New Roman" w:hAnsi="Times New Roman" w:eastAsia="宋体"/>
          <w:b/>
          <w:color w:val="000000"/>
          <w:sz w:val="24"/>
        </w:rPr>
        <w:t>Ⅰ级推荐</w:t>
      </w:r>
      <w:r>
        <w:rPr>
          <w:rFonts w:ascii="Times New Roman" w:hAnsi="Times New Roman" w:eastAsia="宋体"/>
          <w:b w:val="0"/>
          <w:color w:val="000000"/>
          <w:sz w:val="24"/>
        </w:rPr>
        <w:t>先行2—3个月新辅助化疗（CAPEOX/FOLFOX，或FOLFOXIRI），然后行根治性手术。该推荐基于多个临床研究的亚组分析（主要是FOxTROT研究），FOLFOXIRI方案的推荐主要基于CSCO指南专家组的共识及小样本研究；鼓励专门针对该群体开展前瞻性临床研究。</w:t>
      </w:r>
    </w:p>
    <w:p w14:paraId="0149AF5A">
      <w:pPr>
        <w:pStyle w:val="16"/>
        <w:spacing w:before="0" w:after="0" w:line="360" w:lineRule="auto"/>
      </w:pPr>
      <w:r>
        <w:rPr>
          <w:rFonts w:ascii="Times New Roman" w:hAnsi="Times New Roman" w:eastAsia="宋体"/>
          <w:b/>
          <w:color w:val="000000"/>
          <w:sz w:val="24"/>
        </w:rPr>
        <w:t>进展期</w:t>
      </w:r>
      <w:r>
        <w:rPr>
          <w:rFonts w:ascii="Times New Roman" w:hAnsi="Times New Roman" w:eastAsia="宋体"/>
          <w:b w:val="0"/>
          <w:color w:val="000000"/>
          <w:sz w:val="24"/>
        </w:rPr>
        <w:t>：以手术为主，术前/术后化疗。</w:t>
      </w:r>
    </w:p>
    <w:p w14:paraId="6E56EB22">
      <w:pPr>
        <w:pStyle w:val="5"/>
        <w:keepNext/>
        <w:spacing w:before="180" w:after="80" w:line="360" w:lineRule="auto"/>
      </w:pPr>
      <w:r>
        <w:rPr>
          <w:rFonts w:ascii="Times New Roman" w:hAnsi="Times New Roman" w:eastAsia="黑体"/>
          <w:b/>
          <w:color w:val="000000"/>
          <w:sz w:val="24"/>
        </w:rPr>
        <w:t>（3）晚期/转移性结肠癌</w:t>
      </w:r>
    </w:p>
    <w:p w14:paraId="2A1B2955">
      <w:pPr>
        <w:pStyle w:val="16"/>
        <w:spacing w:before="0" w:after="0" w:line="360" w:lineRule="auto"/>
      </w:pPr>
      <w:r>
        <w:rPr>
          <w:rFonts w:ascii="Times New Roman" w:hAnsi="Times New Roman" w:eastAsia="宋体"/>
          <w:b w:val="0"/>
          <w:color w:val="000000"/>
          <w:sz w:val="24"/>
        </w:rPr>
        <w:t>按2026版指南分层推荐执行，包括靶向治疗、免疫治疗等综合方案。</w:t>
      </w:r>
    </w:p>
    <w:p w14:paraId="6DF840E7">
      <w:pPr>
        <w:pStyle w:val="16"/>
        <w:spacing w:before="0" w:after="0" w:line="360" w:lineRule="auto"/>
      </w:pPr>
      <w:r>
        <w:rPr>
          <w:rFonts w:ascii="Times New Roman" w:hAnsi="Times New Roman" w:eastAsia="宋体"/>
          <w:b w:val="0"/>
          <w:color w:val="000000"/>
          <w:sz w:val="24"/>
        </w:rPr>
        <w:t>MSI-H/dMMR患者优先免疫治疗，可选纳武利尤单抗±伊匹木单抗、帕博利珠单抗等。</w:t>
      </w:r>
    </w:p>
    <w:p w14:paraId="01D10E70">
      <w:pPr>
        <w:pStyle w:val="16"/>
        <w:spacing w:before="0" w:after="0" w:line="360" w:lineRule="auto"/>
      </w:pPr>
      <w:r>
        <w:rPr>
          <w:rFonts w:ascii="Times New Roman" w:hAnsi="Times New Roman" w:eastAsia="宋体"/>
          <w:b w:val="0"/>
          <w:color w:val="000000"/>
          <w:sz w:val="24"/>
        </w:rPr>
        <w:t>RAS/BRAF野生型、BRAF V600E突变型、HER-2过表达/扩增等按相应分层治疗。</w:t>
      </w:r>
    </w:p>
    <w:p w14:paraId="55AEE585">
      <w:pPr>
        <w:pStyle w:val="3"/>
        <w:keepNext/>
        <w:spacing w:before="280" w:after="120" w:line="360" w:lineRule="auto"/>
      </w:pPr>
      <w:bookmarkStart w:id="15" w:name="_LarkToc00016"/>
      <w:r>
        <w:rPr>
          <w:rFonts w:ascii="Times New Roman" w:hAnsi="Times New Roman" w:eastAsia="黑体"/>
          <w:b/>
          <w:color w:val="000000"/>
          <w:sz w:val="32"/>
        </w:rPr>
        <w:t>四、治疗实施与术后管理</w:t>
      </w:r>
      <w:bookmarkEnd w:id="15"/>
    </w:p>
    <w:p w14:paraId="55D0C8E8">
      <w:pPr>
        <w:pStyle w:val="4"/>
        <w:keepNext/>
        <w:spacing w:before="220" w:after="100" w:line="360" w:lineRule="auto"/>
      </w:pPr>
      <w:bookmarkStart w:id="16" w:name="_LarkToc00017"/>
      <w:r>
        <w:rPr>
          <w:rFonts w:ascii="Times New Roman" w:hAnsi="Times New Roman" w:eastAsia="黑体"/>
          <w:b/>
          <w:color w:val="000000"/>
          <w:sz w:val="28"/>
        </w:rPr>
        <w:t>1. 手术治疗</w:t>
      </w:r>
      <w:bookmarkEnd w:id="16"/>
    </w:p>
    <w:p w14:paraId="36F6F64C">
      <w:pPr>
        <w:pStyle w:val="16"/>
        <w:spacing w:before="0" w:after="0" w:line="360" w:lineRule="auto"/>
      </w:pPr>
      <w:r>
        <w:rPr>
          <w:rFonts w:ascii="Times New Roman" w:hAnsi="Times New Roman" w:eastAsia="宋体"/>
          <w:b w:val="0"/>
          <w:color w:val="000000"/>
          <w:sz w:val="24"/>
        </w:rPr>
        <w:t>根据肿瘤位置行右半/左半/乙状结肠/横结肠切除术，联合区域淋巴结清扫。优先考虑腹腔镜微创手术。</w:t>
      </w:r>
    </w:p>
    <w:p w14:paraId="6CF4167F">
      <w:pPr>
        <w:pStyle w:val="16"/>
        <w:spacing w:before="0" w:after="0" w:line="360" w:lineRule="auto"/>
      </w:pPr>
      <w:r>
        <w:rPr>
          <w:rFonts w:ascii="Times New Roman" w:hAnsi="Times New Roman" w:eastAsia="宋体"/>
          <w:b w:val="0"/>
          <w:color w:val="000000"/>
          <w:sz w:val="24"/>
        </w:rPr>
        <w:t>根治性手术方式是结肠切除加区域淋巴结整块清扫，肿瘤血管起始部根部淋巴结及清扫范围外可疑转移淋巴结也应切除或活检。只有完全切除手术才能被认为是根治性的。</w:t>
      </w:r>
    </w:p>
    <w:p w14:paraId="75E50CF2">
      <w:pPr>
        <w:pStyle w:val="16"/>
        <w:spacing w:before="0" w:after="0" w:line="360" w:lineRule="auto"/>
      </w:pPr>
      <w:r>
        <w:rPr>
          <w:rFonts w:ascii="Times New Roman" w:hAnsi="Times New Roman" w:eastAsia="宋体"/>
          <w:b w:val="0"/>
          <w:color w:val="000000"/>
          <w:sz w:val="24"/>
        </w:rPr>
        <w:t>可选的手术方式：Ⅰ期切除吻合，或Ⅰ期切除吻合+近端保护性造口，或Ⅰ期肿瘤切除近端造口远端闭合，或造口术后Ⅱ期切除。</w:t>
      </w:r>
    </w:p>
    <w:p w14:paraId="76B5E773">
      <w:pPr>
        <w:pStyle w:val="16"/>
        <w:spacing w:before="0" w:after="0" w:line="360" w:lineRule="auto"/>
      </w:pPr>
      <w:r>
        <w:rPr>
          <w:rFonts w:ascii="Times New Roman" w:hAnsi="Times New Roman" w:eastAsia="宋体"/>
          <w:b w:val="0"/>
          <w:color w:val="000000"/>
          <w:sz w:val="24"/>
        </w:rPr>
        <w:t>梗阻者不建议腹腔镜手术。</w:t>
      </w:r>
    </w:p>
    <w:p w14:paraId="21A21E93">
      <w:pPr>
        <w:pStyle w:val="16"/>
        <w:spacing w:before="0" w:after="0" w:line="360" w:lineRule="auto"/>
      </w:pPr>
      <w:r>
        <w:rPr>
          <w:rFonts w:ascii="Times New Roman" w:hAnsi="Times New Roman" w:eastAsia="宋体"/>
          <w:b w:val="0"/>
          <w:color w:val="000000"/>
          <w:sz w:val="24"/>
        </w:rPr>
        <w:t>肠道支架通常适用于远端结肠的病灶，并且放置后能使近端结肠减压，从而在择期结肠切除时能Ⅰ期吻合的病例。</w:t>
      </w:r>
    </w:p>
    <w:p w14:paraId="06DA6718">
      <w:pPr>
        <w:pStyle w:val="4"/>
        <w:keepNext/>
        <w:spacing w:before="220" w:after="100" w:line="360" w:lineRule="auto"/>
      </w:pPr>
      <w:bookmarkStart w:id="17" w:name="_LarkToc00018"/>
      <w:r>
        <w:rPr>
          <w:rFonts w:ascii="Times New Roman" w:hAnsi="Times New Roman" w:eastAsia="黑体"/>
          <w:b/>
          <w:color w:val="000000"/>
          <w:sz w:val="28"/>
        </w:rPr>
        <w:t>2. 围手术期管理</w:t>
      </w:r>
      <w:bookmarkEnd w:id="17"/>
    </w:p>
    <w:p w14:paraId="0C5F2D81">
      <w:pPr>
        <w:pStyle w:val="16"/>
        <w:spacing w:before="0" w:after="0" w:line="360" w:lineRule="auto"/>
      </w:pPr>
      <w:r>
        <w:rPr>
          <w:rFonts w:ascii="Times New Roman" w:hAnsi="Times New Roman" w:eastAsia="宋体"/>
          <w:b w:val="0"/>
          <w:color w:val="000000"/>
          <w:sz w:val="24"/>
        </w:rPr>
        <w:t>采用加速康复外科（ERAS）理念：早期下床、早期进食、多模式镇痛、尽早拔管。若行造口，做好造口护理和患者教育。</w:t>
      </w:r>
    </w:p>
    <w:p w14:paraId="6E8B6A9C">
      <w:pPr>
        <w:pStyle w:val="4"/>
        <w:keepNext/>
        <w:spacing w:before="220" w:after="100" w:line="360" w:lineRule="auto"/>
      </w:pPr>
      <w:bookmarkStart w:id="18" w:name="_LarkToc00019"/>
      <w:r>
        <w:rPr>
          <w:rFonts w:ascii="Times New Roman" w:hAnsi="Times New Roman" w:eastAsia="黑体"/>
          <w:b/>
          <w:color w:val="000000"/>
          <w:sz w:val="28"/>
        </w:rPr>
        <w:t>3. 术后辅助化疗（2026版更新）</w:t>
      </w:r>
      <w:bookmarkEnd w:id="18"/>
    </w:p>
    <w:p w14:paraId="2C223A1E">
      <w:pPr>
        <w:spacing w:before="0" w:after="0" w:line="360" w:lineRule="auto"/>
        <w:jc w:val="both"/>
      </w:pPr>
      <w:r>
        <w:rPr>
          <w:rFonts w:ascii="Times New Roman" w:hAnsi="Times New Roman" w:eastAsia="宋体"/>
          <w:b/>
          <w:color w:val="000000"/>
          <w:sz w:val="24"/>
        </w:rPr>
        <w:t>Ⅰ期：</w:t>
      </w:r>
    </w:p>
    <w:p w14:paraId="12311E72">
      <w:pPr>
        <w:pStyle w:val="16"/>
        <w:spacing w:before="0" w:after="0" w:line="360" w:lineRule="auto"/>
      </w:pPr>
      <w:r>
        <w:rPr>
          <w:rFonts w:ascii="Times New Roman" w:hAnsi="Times New Roman" w:eastAsia="宋体"/>
          <w:b w:val="0"/>
          <w:color w:val="000000"/>
          <w:sz w:val="24"/>
        </w:rPr>
        <w:t>T1—2N0M0：观察（1A类）。</w:t>
      </w:r>
    </w:p>
    <w:p w14:paraId="69BC83FE">
      <w:pPr>
        <w:spacing w:before="0" w:after="0" w:line="360" w:lineRule="auto"/>
        <w:jc w:val="both"/>
      </w:pPr>
      <w:r>
        <w:rPr>
          <w:rFonts w:ascii="Times New Roman" w:hAnsi="Times New Roman" w:eastAsia="宋体"/>
          <w:b/>
          <w:color w:val="000000"/>
          <w:sz w:val="24"/>
        </w:rPr>
        <w:t>Ⅱ期：</w:t>
      </w:r>
    </w:p>
    <w:p w14:paraId="21D3EADF">
      <w:pPr>
        <w:pStyle w:val="16"/>
        <w:spacing w:before="0" w:after="0" w:line="360" w:lineRule="auto"/>
      </w:pPr>
      <w:r>
        <w:rPr>
          <w:rFonts w:ascii="Times New Roman" w:hAnsi="Times New Roman" w:eastAsia="宋体"/>
          <w:b/>
          <w:color w:val="000000"/>
          <w:sz w:val="24"/>
        </w:rPr>
        <w:t>低危（T3N0M0，dMMR，无论是否伴有高危因素）</w:t>
      </w:r>
      <w:r>
        <w:rPr>
          <w:rFonts w:ascii="Times New Roman" w:hAnsi="Times New Roman" w:eastAsia="宋体"/>
          <w:b w:val="0"/>
          <w:color w:val="000000"/>
          <w:sz w:val="24"/>
        </w:rPr>
        <w:t>：观察（1A类）。</w:t>
      </w:r>
    </w:p>
    <w:p w14:paraId="4CF4FC7B">
      <w:pPr>
        <w:pStyle w:val="16"/>
        <w:spacing w:before="0" w:after="0" w:line="360" w:lineRule="auto"/>
      </w:pPr>
      <w:r>
        <w:rPr>
          <w:rFonts w:ascii="Times New Roman" w:hAnsi="Times New Roman" w:eastAsia="宋体"/>
          <w:b/>
          <w:color w:val="000000"/>
          <w:sz w:val="24"/>
        </w:rPr>
        <w:t>普危（T3N0M0，pMMR且无高危因素）</w:t>
      </w:r>
      <w:r>
        <w:rPr>
          <w:rFonts w:ascii="Times New Roman" w:hAnsi="Times New Roman" w:eastAsia="宋体"/>
          <w:b w:val="0"/>
          <w:color w:val="000000"/>
          <w:sz w:val="24"/>
        </w:rPr>
        <w:t>：单药氟尿嘧啶化疗（1A类）。</w:t>
      </w:r>
    </w:p>
    <w:p w14:paraId="4869729A">
      <w:pPr>
        <w:pStyle w:val="16"/>
        <w:spacing w:before="0" w:after="0" w:line="360" w:lineRule="auto"/>
      </w:pPr>
      <w:r>
        <w:rPr>
          <w:rFonts w:ascii="Times New Roman" w:hAnsi="Times New Roman" w:eastAsia="宋体"/>
          <w:b/>
          <w:color w:val="000000"/>
          <w:sz w:val="24"/>
        </w:rPr>
        <w:t>高危（T3N0M0/pMMR伴高危因素，或T4N0M0）</w:t>
      </w:r>
      <w:r>
        <w:rPr>
          <w:rFonts w:ascii="Times New Roman" w:hAnsi="Times New Roman" w:eastAsia="宋体"/>
          <w:b w:val="0"/>
          <w:color w:val="000000"/>
          <w:sz w:val="24"/>
        </w:rPr>
        <w:t>：</w:t>
      </w:r>
    </w:p>
    <w:p w14:paraId="42991A23">
      <w:pPr>
        <w:pStyle w:val="23"/>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：联合方案化疗（1A类）；</w:t>
      </w:r>
    </w:p>
    <w:p w14:paraId="1195F85B">
      <w:pPr>
        <w:pStyle w:val="23"/>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：单药氟尿嘧啶化疗（限pMMR患者）（1B类）；</w:t>
      </w:r>
    </w:p>
    <w:p w14:paraId="58F03DD2">
      <w:pPr>
        <w:pStyle w:val="23"/>
        <w:spacing w:before="0" w:after="0" w:line="360" w:lineRule="auto"/>
      </w:pPr>
      <w:r>
        <w:rPr>
          <w:rFonts w:ascii="Times New Roman" w:hAnsi="Times New Roman" w:eastAsia="宋体"/>
          <w:b/>
          <w:color w:val="000000"/>
          <w:sz w:val="24"/>
        </w:rPr>
        <w:t>Ⅲ级推荐</w:t>
      </w:r>
      <w:r>
        <w:rPr>
          <w:rFonts w:ascii="Times New Roman" w:hAnsi="Times New Roman" w:eastAsia="宋体"/>
          <w:b w:val="0"/>
          <w:color w:val="000000"/>
          <w:sz w:val="24"/>
        </w:rPr>
        <w:t>：观察（3类）。</w:t>
      </w:r>
    </w:p>
    <w:p w14:paraId="0FCF2404">
      <w:pPr>
        <w:spacing w:before="0" w:after="0" w:line="360" w:lineRule="auto"/>
        <w:jc w:val="both"/>
      </w:pPr>
      <w:r>
        <w:rPr>
          <w:rFonts w:ascii="Times New Roman" w:hAnsi="Times New Roman" w:eastAsia="宋体"/>
          <w:b/>
          <w:color w:val="000000"/>
          <w:sz w:val="24"/>
        </w:rPr>
        <w:t>高危因素包括：</w:t>
      </w:r>
    </w:p>
    <w:p w14:paraId="33E420CD">
      <w:pPr>
        <w:pStyle w:val="16"/>
        <w:spacing w:before="0" w:after="0" w:line="360" w:lineRule="auto"/>
      </w:pPr>
      <w:r>
        <w:rPr>
          <w:rFonts w:ascii="Times New Roman" w:hAnsi="Times New Roman" w:eastAsia="宋体"/>
          <w:b w:val="0"/>
          <w:color w:val="000000"/>
          <w:sz w:val="24"/>
        </w:rPr>
        <w:t>T4、组织学分化差（高级别，不包括MSI-H者）、脉管浸润、神经浸润、术前肠梗阻或肿瘤部位穿孔、切缘阳性或情况不明、切缘安全距离不足、送检淋巴结不足12枚。</w:t>
      </w:r>
    </w:p>
    <w:p w14:paraId="04113ED3">
      <w:pPr>
        <w:spacing w:before="0" w:after="0" w:line="360" w:lineRule="auto"/>
        <w:jc w:val="both"/>
      </w:pPr>
      <w:r>
        <w:rPr>
          <w:rFonts w:ascii="Times New Roman" w:hAnsi="Times New Roman" w:eastAsia="宋体"/>
          <w:b/>
          <w:color w:val="000000"/>
          <w:sz w:val="24"/>
        </w:rPr>
        <w:t>Ⅲ期：</w:t>
      </w:r>
    </w:p>
    <w:p w14:paraId="4608B67B">
      <w:pPr>
        <w:pStyle w:val="16"/>
        <w:spacing w:before="0" w:after="0" w:line="360" w:lineRule="auto"/>
      </w:pPr>
      <w:r>
        <w:rPr>
          <w:rFonts w:ascii="Times New Roman" w:hAnsi="Times New Roman" w:eastAsia="宋体"/>
          <w:b/>
          <w:color w:val="000000"/>
          <w:sz w:val="24"/>
        </w:rPr>
        <w:t>任何T N+ M0</w:t>
      </w:r>
      <w:r>
        <w:rPr>
          <w:rFonts w:ascii="Times New Roman" w:hAnsi="Times New Roman" w:eastAsia="宋体"/>
          <w:b w:val="0"/>
          <w:color w:val="000000"/>
          <w:sz w:val="24"/>
        </w:rPr>
        <w:t>：</w:t>
      </w:r>
    </w:p>
    <w:p w14:paraId="564C8FC8">
      <w:pPr>
        <w:pStyle w:val="23"/>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：联合方案化疗（1A类）；</w:t>
      </w:r>
    </w:p>
    <w:p w14:paraId="0DFA5D9E">
      <w:pPr>
        <w:pStyle w:val="23"/>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：单药氟尿嘧啶化疗（1B类）；</w:t>
      </w:r>
    </w:p>
    <w:p w14:paraId="67153704">
      <w:pPr>
        <w:pStyle w:val="23"/>
        <w:spacing w:before="0" w:after="0" w:line="360" w:lineRule="auto"/>
      </w:pPr>
      <w:r>
        <w:rPr>
          <w:rFonts w:ascii="Times New Roman" w:hAnsi="Times New Roman" w:eastAsia="宋体"/>
          <w:b/>
          <w:color w:val="000000"/>
          <w:sz w:val="24"/>
        </w:rPr>
        <w:t>Ⅲ级推荐</w:t>
      </w:r>
      <w:r>
        <w:rPr>
          <w:rFonts w:ascii="Times New Roman" w:hAnsi="Times New Roman" w:eastAsia="宋体"/>
          <w:b w:val="0"/>
          <w:color w:val="000000"/>
          <w:sz w:val="24"/>
        </w:rPr>
        <w:t>：</w:t>
      </w:r>
      <w:r>
        <w:rPr>
          <w:rFonts w:ascii="Times New Roman" w:hAnsi="Times New Roman" w:eastAsia="宋体"/>
          <w:b/>
          <w:color w:val="000000"/>
          <w:sz w:val="24"/>
        </w:rPr>
        <w:t>FOLFOX+阿替利珠单抗（限dMMR患者）</w:t>
      </w:r>
      <w:r>
        <w:rPr>
          <w:rFonts w:ascii="Times New Roman" w:hAnsi="Times New Roman" w:eastAsia="宋体"/>
          <w:b w:val="0"/>
          <w:color w:val="000000"/>
          <w:sz w:val="24"/>
        </w:rPr>
        <w:t>（1B类）。该推荐基于ATOMIC研究，提示该方案可作为Ⅲ期dMMR型结肠癌根治术后有效的辅助治疗策略。</w:t>
      </w:r>
    </w:p>
    <w:p w14:paraId="2977C1E0">
      <w:pPr>
        <w:spacing w:before="0" w:after="0" w:line="360" w:lineRule="auto"/>
        <w:jc w:val="both"/>
      </w:pPr>
      <w:r>
        <w:rPr>
          <w:rFonts w:ascii="Times New Roman" w:hAnsi="Times New Roman" w:eastAsia="宋体"/>
          <w:b/>
          <w:color w:val="000000"/>
          <w:sz w:val="24"/>
        </w:rPr>
        <w:t>MSI-H/dMMR患者新辅助免疫后的辅助决策：</w:t>
      </w:r>
    </w:p>
    <w:p w14:paraId="44C58FF4">
      <w:pPr>
        <w:pStyle w:val="16"/>
        <w:spacing w:before="0" w:after="0" w:line="360" w:lineRule="auto"/>
      </w:pPr>
      <w:r>
        <w:rPr>
          <w:rFonts w:ascii="Times New Roman" w:hAnsi="Times New Roman" w:eastAsia="宋体"/>
          <w:b w:val="0"/>
          <w:color w:val="000000"/>
          <w:sz w:val="24"/>
        </w:rPr>
        <w:t>若新辅助免疫后达到pCR或降期为Ⅰ—Ⅱ期，推荐</w:t>
      </w:r>
      <w:r>
        <w:rPr>
          <w:rFonts w:ascii="Times New Roman" w:hAnsi="Times New Roman" w:eastAsia="宋体"/>
          <w:b/>
          <w:color w:val="000000"/>
          <w:sz w:val="24"/>
        </w:rPr>
        <w:t>观察</w:t>
      </w:r>
      <w:r>
        <w:rPr>
          <w:rFonts w:ascii="Times New Roman" w:hAnsi="Times New Roman" w:eastAsia="宋体"/>
          <w:b w:val="0"/>
          <w:color w:val="000000"/>
          <w:sz w:val="24"/>
        </w:rPr>
        <w:t>（降期至T4N0M0者建议辅助化疗）；</w:t>
      </w:r>
    </w:p>
    <w:p w14:paraId="0E3DFCFF">
      <w:pPr>
        <w:pStyle w:val="16"/>
        <w:spacing w:before="0" w:after="0" w:line="360" w:lineRule="auto"/>
      </w:pPr>
      <w:r>
        <w:rPr>
          <w:rFonts w:ascii="Times New Roman" w:hAnsi="Times New Roman" w:eastAsia="宋体"/>
          <w:b w:val="0"/>
          <w:color w:val="000000"/>
          <w:sz w:val="24"/>
        </w:rPr>
        <w:t>若仍为Ⅲ期，则需辅助化疗；</w:t>
      </w:r>
    </w:p>
    <w:p w14:paraId="634A020C">
      <w:pPr>
        <w:pStyle w:val="16"/>
        <w:spacing w:before="0" w:after="0" w:line="360" w:lineRule="auto"/>
      </w:pPr>
      <w:r>
        <w:rPr>
          <w:rFonts w:ascii="Times New Roman" w:hAnsi="Times New Roman" w:eastAsia="宋体"/>
          <w:b w:val="0"/>
          <w:color w:val="000000"/>
          <w:sz w:val="24"/>
        </w:rPr>
        <w:t>对于直接进行手术的dMMR患者，</w:t>
      </w:r>
      <w:r>
        <w:rPr>
          <w:rFonts w:ascii="Times New Roman" w:hAnsi="Times New Roman" w:eastAsia="宋体"/>
          <w:b/>
          <w:color w:val="000000"/>
          <w:sz w:val="24"/>
        </w:rPr>
        <w:t>明确反对在临床试验外常规单用免疫检查点抑制剂进行辅助治疗</w:t>
      </w:r>
      <w:r>
        <w:rPr>
          <w:rFonts w:ascii="Times New Roman" w:hAnsi="Times New Roman" w:eastAsia="宋体"/>
          <w:b w:val="0"/>
          <w:color w:val="000000"/>
          <w:sz w:val="24"/>
        </w:rPr>
        <w:t>。</w:t>
      </w:r>
    </w:p>
    <w:p w14:paraId="658C124D">
      <w:pPr>
        <w:spacing w:before="0" w:after="0" w:line="360" w:lineRule="auto"/>
        <w:jc w:val="both"/>
      </w:pPr>
      <w:r>
        <w:rPr>
          <w:rFonts w:ascii="Times New Roman" w:hAnsi="Times New Roman" w:eastAsia="宋体"/>
          <w:b/>
          <w:color w:val="000000"/>
          <w:sz w:val="24"/>
        </w:rPr>
        <w:t>MSS/pMMR患者：</w:t>
      </w:r>
    </w:p>
    <w:p w14:paraId="32493C26">
      <w:pPr>
        <w:pStyle w:val="16"/>
        <w:spacing w:before="0" w:after="0" w:line="360" w:lineRule="auto"/>
      </w:pPr>
      <w:r>
        <w:rPr>
          <w:rFonts w:ascii="Times New Roman" w:hAnsi="Times New Roman" w:eastAsia="宋体"/>
          <w:b w:val="0"/>
          <w:color w:val="000000"/>
          <w:sz w:val="24"/>
        </w:rPr>
        <w:t>Ⅲ期及高危Ⅱ期术后辅助化疗为标准治疗。高危Ⅱ期首选CAPOX方案。低危Ⅲ期（T1—3N1）可考虑3个月CapeOx方案辅助化疗。</w:t>
      </w:r>
    </w:p>
    <w:p w14:paraId="1F01FBF0">
      <w:pPr>
        <w:spacing w:before="0" w:after="0" w:line="360" w:lineRule="auto"/>
        <w:jc w:val="both"/>
      </w:pPr>
      <w:r>
        <w:rPr>
          <w:rFonts w:ascii="Times New Roman" w:hAnsi="Times New Roman" w:eastAsia="宋体"/>
          <w:b/>
          <w:color w:val="000000"/>
          <w:sz w:val="24"/>
        </w:rPr>
        <w:t>辅助化疗具体方案：</w:t>
      </w:r>
    </w:p>
    <w:p w14:paraId="7DFD28D7">
      <w:pPr>
        <w:pStyle w:val="16"/>
        <w:spacing w:before="0" w:after="0" w:line="360" w:lineRule="auto"/>
      </w:pPr>
      <w:r>
        <w:rPr>
          <w:rFonts w:ascii="Times New Roman" w:hAnsi="Times New Roman" w:eastAsia="宋体"/>
          <w:b w:val="0"/>
          <w:color w:val="000000"/>
          <w:sz w:val="24"/>
        </w:rPr>
        <w:t>卡培他滨：每次1250mg/m²，口服，每天2次，第1—14天，每3周重复，共8个周期。</w:t>
      </w:r>
    </w:p>
    <w:p w14:paraId="58385DCF">
      <w:pPr>
        <w:pStyle w:val="16"/>
        <w:spacing w:before="0" w:after="0" w:line="360" w:lineRule="auto"/>
      </w:pPr>
      <w:r>
        <w:rPr>
          <w:rFonts w:ascii="Times New Roman" w:hAnsi="Times New Roman" w:eastAsia="宋体"/>
          <w:b w:val="0"/>
          <w:color w:val="000000"/>
          <w:sz w:val="24"/>
        </w:rPr>
        <w:t>简化的双周5-FU输注/LV方案（sLV5FU2）：LV 400mg/m²，静脉滴注2小时，第1天；随后5-FU 400mg/m²，静脉推注，第1天；然后1200mg/(m²·d)×2天，持续静脉输注（总量2400mg/m²，输注46—48小时），每2周重复，共12次。</w:t>
      </w:r>
    </w:p>
    <w:p w14:paraId="2069E1E7">
      <w:pPr>
        <w:pStyle w:val="16"/>
        <w:spacing w:before="0" w:after="0" w:line="360" w:lineRule="auto"/>
      </w:pPr>
      <w:r>
        <w:rPr>
          <w:rFonts w:ascii="Times New Roman" w:hAnsi="Times New Roman" w:eastAsia="宋体"/>
          <w:b w:val="0"/>
          <w:color w:val="000000"/>
          <w:sz w:val="24"/>
        </w:rPr>
        <w:t>CAPEOX（又称XELOX）：奥沙利铂130mg/m²，静脉输注2小时，第1天；卡培他滨每次1000mg/m²，口服，每天2次，第1—14天，每3周重复，共8个周期。</w:t>
      </w:r>
    </w:p>
    <w:p w14:paraId="57000F95">
      <w:pPr>
        <w:pStyle w:val="16"/>
        <w:spacing w:before="0" w:after="0" w:line="360" w:lineRule="auto"/>
      </w:pPr>
      <w:r>
        <w:rPr>
          <w:rFonts w:ascii="Times New Roman" w:hAnsi="Times New Roman" w:eastAsia="宋体"/>
          <w:b w:val="0"/>
          <w:color w:val="000000"/>
          <w:sz w:val="24"/>
        </w:rPr>
        <w:t>mFOLFOX6：奥沙利铂85mg/m²，静脉输注2小时，第1天；LV 400mg/m²，静脉输注2小时，第1天；5-FU 400mg/m²，静脉推注，第1天；然后1200mg/(m²·d)×2天，持续静脉输注（总量2400mg/m²，输注46—48小时），每2周重复，共12次。</w:t>
      </w:r>
    </w:p>
    <w:p w14:paraId="0A70DB25">
      <w:pPr>
        <w:pStyle w:val="16"/>
        <w:spacing w:before="0" w:after="0" w:line="360" w:lineRule="auto"/>
      </w:pPr>
      <w:r>
        <w:rPr>
          <w:rFonts w:ascii="Times New Roman" w:hAnsi="Times New Roman" w:eastAsia="宋体"/>
          <w:b w:val="0"/>
          <w:color w:val="000000"/>
          <w:sz w:val="24"/>
        </w:rPr>
        <w:t>FOLFOXIRI：伊立替康165mg/m²，静脉输注，第1天；奥沙利铂85mg/m²，静脉输注，第1天；LV 400mg/m²，静脉输注，第1天；5-FU总量2400—3200mg/m²，第1天，持续静脉输注48小时，每2周重复，共12次。</w:t>
      </w:r>
    </w:p>
    <w:p w14:paraId="1B88EC1A">
      <w:pPr>
        <w:pStyle w:val="16"/>
        <w:spacing w:before="0" w:after="0" w:line="360" w:lineRule="auto"/>
      </w:pPr>
      <w:r>
        <w:rPr>
          <w:rFonts w:ascii="Times New Roman" w:hAnsi="Times New Roman" w:eastAsia="宋体"/>
          <w:b w:val="0"/>
          <w:color w:val="000000"/>
          <w:sz w:val="24"/>
        </w:rPr>
        <w:t>mFOLFOX6+阿替利珠单抗：奥沙利铂85mg/m²，静脉输注2小时，第1天；LV 400mg/m²，静脉输注2小时，第1天；5-FU 400mg/m²，静脉推注，第1天；然后1200mg/(m²·d)×2天，持续静脉输注（总量2400mg/m²，输注46—48小时），每2周重复，共12次；阿替利珠单抗840mg，静脉输注，每2周重复，共25次。</w:t>
      </w:r>
    </w:p>
    <w:p w14:paraId="3D86DB09">
      <w:pPr>
        <w:pStyle w:val="16"/>
        <w:spacing w:before="0" w:after="0" w:line="360" w:lineRule="auto"/>
      </w:pPr>
      <w:r>
        <w:rPr>
          <w:rFonts w:ascii="Times New Roman" w:hAnsi="Times New Roman" w:eastAsia="宋体"/>
          <w:b w:val="0"/>
          <w:color w:val="000000"/>
          <w:sz w:val="24"/>
        </w:rPr>
        <w:t>信迪利单抗+伊匹木单抗N01：信迪利单抗200mg，静脉输注，每3周重复，共2次；伊匹木单抗N01 1mg/kg，静脉输注，共1次。</w:t>
      </w:r>
    </w:p>
    <w:p w14:paraId="51B9272C">
      <w:pPr>
        <w:spacing w:before="0" w:after="0" w:line="360" w:lineRule="auto"/>
        <w:jc w:val="both"/>
      </w:pPr>
      <w:r>
        <w:rPr>
          <w:rFonts w:ascii="Times New Roman" w:hAnsi="Times New Roman" w:eastAsia="宋体"/>
          <w:b/>
          <w:color w:val="000000"/>
          <w:sz w:val="24"/>
        </w:rPr>
        <w:t>辅助化疗注意事项：</w:t>
      </w:r>
    </w:p>
    <w:p w14:paraId="0580949D">
      <w:pPr>
        <w:pStyle w:val="16"/>
        <w:spacing w:before="0" w:after="0" w:line="360" w:lineRule="auto"/>
      </w:pPr>
      <w:r>
        <w:rPr>
          <w:rFonts w:ascii="Times New Roman" w:hAnsi="Times New Roman" w:eastAsia="宋体"/>
          <w:b w:val="0"/>
          <w:color w:val="000000"/>
          <w:sz w:val="24"/>
        </w:rPr>
        <w:t>术后身体恢复后应尽快开始辅助化疗，一般在术后3周左右开始，不应迟于术后2个月。</w:t>
      </w:r>
    </w:p>
    <w:p w14:paraId="49047B10">
      <w:pPr>
        <w:pStyle w:val="16"/>
        <w:spacing w:before="0" w:after="0" w:line="360" w:lineRule="auto"/>
      </w:pPr>
      <w:r>
        <w:rPr>
          <w:rFonts w:ascii="Times New Roman" w:hAnsi="Times New Roman" w:eastAsia="宋体"/>
          <w:b w:val="0"/>
          <w:color w:val="000000"/>
          <w:sz w:val="24"/>
        </w:rPr>
        <w:t>除临床试验外，不推荐在辅助化疗中使用如下药物：伊立替康、替吉奥、曲氟尿苷替匹嘧啶（TAS-102）、所有的靶向药物（包括贝伐珠单抗、抗EGFR单抗、帕尼单抗、阿柏西普、瑞戈非尼、呋喹替尼等）和所有的免疫检查点抑制剂（帕博利珠单抗和纳武利尤单抗等）。</w:t>
      </w:r>
    </w:p>
    <w:p w14:paraId="27420737">
      <w:pPr>
        <w:pStyle w:val="3"/>
        <w:keepNext/>
        <w:spacing w:before="280" w:after="120" w:line="360" w:lineRule="auto"/>
      </w:pPr>
      <w:bookmarkStart w:id="19" w:name="_LarkToc00020"/>
      <w:r>
        <w:rPr>
          <w:rFonts w:ascii="Times New Roman" w:hAnsi="Times New Roman" w:eastAsia="黑体"/>
          <w:b/>
          <w:color w:val="000000"/>
          <w:sz w:val="32"/>
        </w:rPr>
        <w:t>五、出院标准与出院流程</w:t>
      </w:r>
      <w:bookmarkEnd w:id="19"/>
    </w:p>
    <w:p w14:paraId="489FC3EC">
      <w:pPr>
        <w:spacing w:before="0" w:after="0" w:line="360" w:lineRule="auto"/>
        <w:jc w:val="both"/>
      </w:pPr>
      <w:r>
        <w:rPr>
          <w:rFonts w:ascii="Times New Roman" w:hAnsi="Times New Roman" w:eastAsia="宋体"/>
          <w:b w:val="0"/>
          <w:color w:val="000000"/>
          <w:sz w:val="24"/>
        </w:rPr>
        <w:t>达到以下条件可出院：</w:t>
      </w:r>
    </w:p>
    <w:p w14:paraId="56C31D1A">
      <w:pPr>
        <w:pStyle w:val="16"/>
        <w:spacing w:before="0" w:after="0" w:line="360" w:lineRule="auto"/>
      </w:pPr>
      <w:r>
        <w:rPr>
          <w:rFonts w:ascii="Times New Roman" w:hAnsi="Times New Roman" w:eastAsia="宋体"/>
          <w:b w:val="0"/>
          <w:color w:val="000000"/>
          <w:sz w:val="24"/>
        </w:rPr>
        <w:t>体温正常3天以上；</w:t>
      </w:r>
    </w:p>
    <w:p w14:paraId="32E5A365">
      <w:pPr>
        <w:pStyle w:val="16"/>
        <w:spacing w:before="0" w:after="0" w:line="360" w:lineRule="auto"/>
      </w:pPr>
      <w:r>
        <w:rPr>
          <w:rFonts w:ascii="Times New Roman" w:hAnsi="Times New Roman" w:eastAsia="宋体"/>
          <w:b w:val="0"/>
          <w:color w:val="000000"/>
          <w:sz w:val="24"/>
        </w:rPr>
        <w:t>恢复半流质或软食，无明显不适；</w:t>
      </w:r>
    </w:p>
    <w:p w14:paraId="0937295E">
      <w:pPr>
        <w:pStyle w:val="16"/>
        <w:spacing w:before="0" w:after="0" w:line="360" w:lineRule="auto"/>
      </w:pPr>
      <w:r>
        <w:rPr>
          <w:rFonts w:ascii="Times New Roman" w:hAnsi="Times New Roman" w:eastAsia="宋体"/>
          <w:b w:val="0"/>
          <w:color w:val="000000"/>
          <w:sz w:val="24"/>
        </w:rPr>
        <w:t>疼痛可控，仅需口服止痛药；</w:t>
      </w:r>
    </w:p>
    <w:p w14:paraId="638C081C">
      <w:pPr>
        <w:pStyle w:val="16"/>
        <w:spacing w:before="0" w:after="0" w:line="360" w:lineRule="auto"/>
      </w:pPr>
      <w:r>
        <w:rPr>
          <w:rFonts w:ascii="Times New Roman" w:hAnsi="Times New Roman" w:eastAsia="宋体"/>
          <w:b w:val="0"/>
          <w:color w:val="000000"/>
          <w:sz w:val="24"/>
        </w:rPr>
        <w:t>无吻合口瘘、感染、出血等严重并发症；</w:t>
      </w:r>
    </w:p>
    <w:p w14:paraId="2DF1B9B9">
      <w:pPr>
        <w:pStyle w:val="16"/>
        <w:spacing w:before="0" w:after="0" w:line="360" w:lineRule="auto"/>
      </w:pPr>
      <w:r>
        <w:rPr>
          <w:rFonts w:ascii="Times New Roman" w:hAnsi="Times New Roman" w:eastAsia="宋体"/>
          <w:b w:val="0"/>
          <w:color w:val="000000"/>
          <w:sz w:val="24"/>
        </w:rPr>
        <w:t>伤口愈合良好；</w:t>
      </w:r>
    </w:p>
    <w:p w14:paraId="628AEA80">
      <w:pPr>
        <w:pStyle w:val="16"/>
        <w:spacing w:before="0" w:after="0" w:line="360" w:lineRule="auto"/>
      </w:pPr>
      <w:r>
        <w:rPr>
          <w:rFonts w:ascii="Times New Roman" w:hAnsi="Times New Roman" w:eastAsia="宋体"/>
          <w:b w:val="0"/>
          <w:color w:val="000000"/>
          <w:sz w:val="24"/>
        </w:rPr>
        <w:t>能独立行走和基本自理。</w:t>
      </w:r>
    </w:p>
    <w:p w14:paraId="653226F4">
      <w:pPr>
        <w:spacing w:before="0" w:after="0" w:line="360" w:lineRule="auto"/>
        <w:jc w:val="both"/>
      </w:pPr>
      <w:r>
        <w:rPr>
          <w:rFonts w:ascii="Times New Roman" w:hAnsi="Times New Roman" w:eastAsia="宋体"/>
          <w:b/>
          <w:color w:val="000000"/>
          <w:sz w:val="24"/>
        </w:rPr>
        <w:t>住院时间参考：</w:t>
      </w:r>
    </w:p>
    <w:p w14:paraId="55708E7F">
      <w:pPr>
        <w:pStyle w:val="16"/>
        <w:spacing w:before="0" w:after="0" w:line="360" w:lineRule="auto"/>
      </w:pPr>
      <w:r>
        <w:rPr>
          <w:rFonts w:ascii="Times New Roman" w:hAnsi="Times New Roman" w:eastAsia="宋体"/>
          <w:b w:val="0"/>
          <w:color w:val="000000"/>
          <w:sz w:val="24"/>
        </w:rPr>
        <w:t>仅住院确诊、分期约3—7天；确诊后手术术前3—5天+术后5—10天，总约11—18天；微创手术可更短。</w:t>
      </w:r>
    </w:p>
    <w:p w14:paraId="62D398BB">
      <w:pPr>
        <w:pStyle w:val="3"/>
        <w:keepNext/>
        <w:spacing w:before="280" w:after="120" w:line="360" w:lineRule="auto"/>
      </w:pPr>
      <w:bookmarkStart w:id="20" w:name="_LarkToc00021"/>
      <w:r>
        <w:rPr>
          <w:rFonts w:ascii="Times New Roman" w:hAnsi="Times New Roman" w:eastAsia="黑体"/>
          <w:b/>
          <w:color w:val="000000"/>
          <w:sz w:val="32"/>
        </w:rPr>
        <w:t>六、出院后随访（2026版指南修订）</w:t>
      </w:r>
      <w:bookmarkEnd w:id="20"/>
    </w:p>
    <w:p w14:paraId="2B58A3AF">
      <w:pPr>
        <w:pStyle w:val="4"/>
        <w:keepNext/>
        <w:spacing w:before="220" w:after="100" w:line="360" w:lineRule="auto"/>
      </w:pPr>
      <w:bookmarkStart w:id="21" w:name="_LarkToc00022"/>
      <w:r>
        <w:rPr>
          <w:rFonts w:ascii="Times New Roman" w:hAnsi="Times New Roman" w:eastAsia="黑体"/>
          <w:b/>
          <w:color w:val="000000"/>
          <w:sz w:val="28"/>
        </w:rPr>
        <w:t>1. 随访频率</w:t>
      </w:r>
      <w:bookmarkEnd w:id="21"/>
    </w:p>
    <w:p w14:paraId="56BAA648">
      <w:pPr>
        <w:pStyle w:val="16"/>
        <w:spacing w:before="0" w:after="0" w:line="360" w:lineRule="auto"/>
      </w:pPr>
      <w:r>
        <w:rPr>
          <w:rFonts w:ascii="Times New Roman" w:hAnsi="Times New Roman" w:eastAsia="宋体"/>
          <w:b/>
          <w:color w:val="000000"/>
          <w:sz w:val="24"/>
        </w:rPr>
        <w:t>Ⅰ期</w:t>
      </w:r>
      <w:r>
        <w:rPr>
          <w:rFonts w:ascii="Times New Roman" w:hAnsi="Times New Roman" w:eastAsia="宋体"/>
          <w:b w:val="0"/>
          <w:color w:val="000000"/>
          <w:sz w:val="24"/>
        </w:rPr>
        <w:t>：每6个月一次，共5年；</w:t>
      </w:r>
    </w:p>
    <w:p w14:paraId="674E82C2">
      <w:pPr>
        <w:pStyle w:val="16"/>
        <w:spacing w:before="0" w:after="0" w:line="360" w:lineRule="auto"/>
      </w:pPr>
      <w:r>
        <w:rPr>
          <w:rFonts w:ascii="Times New Roman" w:hAnsi="Times New Roman" w:eastAsia="宋体"/>
          <w:b/>
          <w:color w:val="000000"/>
          <w:sz w:val="24"/>
        </w:rPr>
        <w:t>Ⅱ—Ⅲ期</w:t>
      </w:r>
      <w:r>
        <w:rPr>
          <w:rFonts w:ascii="Times New Roman" w:hAnsi="Times New Roman" w:eastAsia="宋体"/>
          <w:b w:val="0"/>
          <w:color w:val="000000"/>
          <w:sz w:val="24"/>
        </w:rPr>
        <w:t>：每3个月一次，共3年；然后每6个月一次，至术后5年；5年后每年一次。</w:t>
      </w:r>
    </w:p>
    <w:p w14:paraId="34BB61DE">
      <w:pPr>
        <w:pStyle w:val="4"/>
        <w:keepNext/>
        <w:spacing w:before="220" w:after="100" w:line="360" w:lineRule="auto"/>
      </w:pPr>
      <w:bookmarkStart w:id="22" w:name="_LarkToc00023"/>
      <w:r>
        <w:rPr>
          <w:rFonts w:ascii="Times New Roman" w:hAnsi="Times New Roman" w:eastAsia="黑体"/>
          <w:b/>
          <w:color w:val="000000"/>
          <w:sz w:val="28"/>
        </w:rPr>
        <w:t>2. 随访内容（无特指时即为每次）</w:t>
      </w:r>
      <w:bookmarkEnd w:id="22"/>
    </w:p>
    <w:p w14:paraId="1D3DCE3D">
      <w:pPr>
        <w:pStyle w:val="16"/>
        <w:spacing w:before="0" w:after="0" w:line="360" w:lineRule="auto"/>
      </w:pPr>
      <w:r>
        <w:rPr>
          <w:rFonts w:ascii="Times New Roman" w:hAnsi="Times New Roman" w:eastAsia="宋体"/>
          <w:b w:val="0"/>
          <w:color w:val="000000"/>
          <w:sz w:val="24"/>
        </w:rPr>
        <w:t>体格检查，强调肛门指诊；</w:t>
      </w:r>
    </w:p>
    <w:p w14:paraId="56DFF1EC">
      <w:pPr>
        <w:pStyle w:val="16"/>
        <w:spacing w:before="0" w:after="0" w:line="360" w:lineRule="auto"/>
      </w:pPr>
      <w:r>
        <w:rPr>
          <w:rFonts w:ascii="Times New Roman" w:hAnsi="Times New Roman" w:eastAsia="宋体"/>
          <w:b w:val="0"/>
          <w:color w:val="000000"/>
          <w:sz w:val="24"/>
        </w:rPr>
        <w:t>血CEA；</w:t>
      </w:r>
    </w:p>
    <w:p w14:paraId="4C20AF39">
      <w:pPr>
        <w:pStyle w:val="16"/>
        <w:spacing w:before="0" w:after="0" w:line="360" w:lineRule="auto"/>
      </w:pPr>
      <w:r>
        <w:rPr>
          <w:rFonts w:ascii="Times New Roman" w:hAnsi="Times New Roman" w:eastAsia="宋体"/>
          <w:b w:val="0"/>
          <w:color w:val="000000"/>
          <w:sz w:val="24"/>
        </w:rPr>
        <w:t>肝脏超声检查（Ⅰ—Ⅱ期）；</w:t>
      </w:r>
    </w:p>
    <w:p w14:paraId="75307546">
      <w:pPr>
        <w:pStyle w:val="16"/>
        <w:spacing w:before="0" w:after="0" w:line="360" w:lineRule="auto"/>
      </w:pPr>
      <w:r>
        <w:rPr>
          <w:rFonts w:ascii="Times New Roman" w:hAnsi="Times New Roman" w:eastAsia="宋体"/>
          <w:b w:val="0"/>
          <w:color w:val="000000"/>
          <w:sz w:val="24"/>
        </w:rPr>
        <w:t>每年一次胸腹盆腔CT（Ⅲ期或CEA、超声异常时）；</w:t>
      </w:r>
    </w:p>
    <w:p w14:paraId="0A771237">
      <w:pPr>
        <w:pStyle w:val="16"/>
        <w:spacing w:before="0" w:after="0" w:line="360" w:lineRule="auto"/>
      </w:pPr>
      <w:r>
        <w:rPr>
          <w:rFonts w:ascii="Times New Roman" w:hAnsi="Times New Roman" w:eastAsia="宋体"/>
          <w:b w:val="0"/>
          <w:color w:val="000000"/>
          <w:sz w:val="24"/>
        </w:rPr>
        <w:t>结肠镜检查：</w:t>
      </w:r>
    </w:p>
    <w:p w14:paraId="0FC46333">
      <w:pPr>
        <w:pStyle w:val="23"/>
        <w:spacing w:before="0" w:after="0" w:line="360" w:lineRule="auto"/>
      </w:pPr>
      <w:r>
        <w:rPr>
          <w:rFonts w:ascii="Times New Roman" w:hAnsi="Times New Roman" w:eastAsia="宋体"/>
          <w:b w:val="0"/>
          <w:color w:val="000000"/>
          <w:sz w:val="24"/>
        </w:rPr>
        <w:t>术后1年内进行首次结肠镜检查；</w:t>
      </w:r>
    </w:p>
    <w:p w14:paraId="04C5AC4D">
      <w:pPr>
        <w:pStyle w:val="23"/>
        <w:spacing w:before="0" w:after="0" w:line="360" w:lineRule="auto"/>
      </w:pPr>
      <w:r>
        <w:rPr>
          <w:rFonts w:ascii="Times New Roman" w:hAnsi="Times New Roman" w:eastAsia="宋体"/>
          <w:b w:val="0"/>
          <w:color w:val="000000"/>
          <w:sz w:val="24"/>
        </w:rPr>
        <w:t>如果术前因肿瘤梗阻无法行全结肠镜检查，术后3—6个月检查；</w:t>
      </w:r>
    </w:p>
    <w:p w14:paraId="70BF621C">
      <w:pPr>
        <w:pStyle w:val="23"/>
        <w:spacing w:before="0" w:after="0" w:line="360" w:lineRule="auto"/>
      </w:pPr>
      <w:r>
        <w:rPr>
          <w:rFonts w:ascii="Times New Roman" w:hAnsi="Times New Roman" w:eastAsia="宋体"/>
          <w:b w:val="0"/>
          <w:color w:val="000000"/>
          <w:sz w:val="24"/>
        </w:rPr>
        <w:t>每次肠镜检查若发现进展期腺瘤（绒毛状腺瘤，直径大于1cm，或有高级别不典型增生），需在1年内复查；</w:t>
      </w:r>
    </w:p>
    <w:p w14:paraId="79A602E9">
      <w:pPr>
        <w:pStyle w:val="23"/>
        <w:spacing w:before="0" w:after="0" w:line="360" w:lineRule="auto"/>
      </w:pPr>
      <w:r>
        <w:rPr>
          <w:rFonts w:ascii="Times New Roman" w:hAnsi="Times New Roman" w:eastAsia="宋体"/>
          <w:b w:val="0"/>
          <w:color w:val="000000"/>
          <w:sz w:val="24"/>
        </w:rPr>
        <w:t>若未发现进展期腺瘤，则3年内复查，然后每5年一次。</w:t>
      </w:r>
    </w:p>
    <w:p w14:paraId="232ABF56">
      <w:pPr>
        <w:pStyle w:val="4"/>
        <w:keepNext/>
        <w:spacing w:before="220" w:after="100" w:line="360" w:lineRule="auto"/>
      </w:pPr>
      <w:bookmarkStart w:id="23" w:name="_LarkToc00024"/>
      <w:r>
        <w:rPr>
          <w:rFonts w:ascii="Times New Roman" w:hAnsi="Times New Roman" w:eastAsia="黑体"/>
          <w:b/>
          <w:color w:val="000000"/>
          <w:sz w:val="28"/>
        </w:rPr>
        <w:t>3. Ⅱ级推荐随访内容</w:t>
      </w:r>
      <w:bookmarkEnd w:id="23"/>
    </w:p>
    <w:p w14:paraId="64ABB9C1">
      <w:pPr>
        <w:pStyle w:val="16"/>
        <w:spacing w:before="0" w:after="0" w:line="360" w:lineRule="auto"/>
      </w:pPr>
      <w:r>
        <w:rPr>
          <w:rFonts w:ascii="Times New Roman" w:hAnsi="Times New Roman" w:eastAsia="宋体"/>
          <w:b w:val="0"/>
          <w:color w:val="000000"/>
          <w:sz w:val="24"/>
        </w:rPr>
        <w:t>较Ⅰ级推荐更高的随访频率；</w:t>
      </w:r>
    </w:p>
    <w:p w14:paraId="1651A677">
      <w:pPr>
        <w:pStyle w:val="16"/>
        <w:spacing w:before="0" w:after="0" w:line="360" w:lineRule="auto"/>
      </w:pPr>
      <w:r>
        <w:rPr>
          <w:rFonts w:ascii="Times New Roman" w:hAnsi="Times New Roman" w:eastAsia="宋体"/>
          <w:b w:val="0"/>
          <w:color w:val="000000"/>
          <w:sz w:val="24"/>
        </w:rPr>
        <w:t>胸腹盆腔增强CT；</w:t>
      </w:r>
    </w:p>
    <w:p w14:paraId="186993B1">
      <w:pPr>
        <w:pStyle w:val="16"/>
        <w:spacing w:before="0" w:after="0" w:line="360" w:lineRule="auto"/>
      </w:pPr>
      <w:r>
        <w:rPr>
          <w:rFonts w:ascii="Times New Roman" w:hAnsi="Times New Roman" w:eastAsia="宋体"/>
          <w:b w:val="0"/>
          <w:color w:val="000000"/>
          <w:sz w:val="24"/>
        </w:rPr>
        <w:t>曾经升高过的标志物；</w:t>
      </w:r>
    </w:p>
    <w:p w14:paraId="4687D8F9">
      <w:pPr>
        <w:pStyle w:val="16"/>
        <w:spacing w:before="0" w:after="0" w:line="360" w:lineRule="auto"/>
      </w:pPr>
      <w:r>
        <w:rPr>
          <w:rFonts w:ascii="Times New Roman" w:hAnsi="Times New Roman" w:eastAsia="宋体"/>
          <w:b w:val="0"/>
          <w:color w:val="000000"/>
          <w:sz w:val="24"/>
        </w:rPr>
        <w:t>更频密的结肠镜检查；</w:t>
      </w:r>
    </w:p>
    <w:p w14:paraId="12ACCC81">
      <w:pPr>
        <w:pStyle w:val="16"/>
        <w:spacing w:before="0" w:after="0" w:line="360" w:lineRule="auto"/>
      </w:pPr>
      <w:r>
        <w:rPr>
          <w:rFonts w:ascii="Times New Roman" w:hAnsi="Times New Roman" w:eastAsia="宋体"/>
          <w:b w:val="0"/>
          <w:color w:val="000000"/>
          <w:sz w:val="24"/>
        </w:rPr>
        <w:t>肝脏超声造影；</w:t>
      </w:r>
    </w:p>
    <w:p w14:paraId="0B55480C">
      <w:pPr>
        <w:pStyle w:val="16"/>
        <w:spacing w:before="0" w:after="0" w:line="360" w:lineRule="auto"/>
      </w:pPr>
      <w:r>
        <w:rPr>
          <w:rFonts w:ascii="Times New Roman" w:hAnsi="Times New Roman" w:eastAsia="宋体"/>
          <w:b w:val="0"/>
          <w:color w:val="000000"/>
          <w:sz w:val="24"/>
        </w:rPr>
        <w:t>PET/CT；</w:t>
      </w:r>
    </w:p>
    <w:p w14:paraId="1400082A">
      <w:pPr>
        <w:pStyle w:val="16"/>
        <w:spacing w:before="0" w:after="0" w:line="360" w:lineRule="auto"/>
      </w:pPr>
      <w:r>
        <w:rPr>
          <w:rFonts w:ascii="Times New Roman" w:hAnsi="Times New Roman" w:eastAsia="宋体"/>
          <w:b w:val="0"/>
          <w:color w:val="000000"/>
          <w:sz w:val="24"/>
        </w:rPr>
        <w:t>ctDNA/MRD。</w:t>
      </w:r>
    </w:p>
    <w:p w14:paraId="04A1CA9B">
      <w:pPr>
        <w:spacing w:before="0" w:after="0" w:line="360" w:lineRule="auto"/>
        <w:jc w:val="both"/>
      </w:pPr>
      <w:r>
        <w:rPr>
          <w:rFonts w:ascii="Times New Roman" w:hAnsi="Times New Roman" w:eastAsia="宋体"/>
          <w:b/>
          <w:color w:val="000000"/>
          <w:sz w:val="24"/>
        </w:rPr>
        <w:t>注释：</w:t>
      </w:r>
    </w:p>
    <w:p w14:paraId="7B478218">
      <w:pPr>
        <w:pStyle w:val="16"/>
        <w:spacing w:before="0" w:after="0" w:line="360" w:lineRule="auto"/>
      </w:pPr>
      <w:r>
        <w:rPr>
          <w:rFonts w:ascii="Times New Roman" w:hAnsi="Times New Roman" w:eastAsia="宋体"/>
          <w:b w:val="0"/>
          <w:color w:val="000000"/>
          <w:sz w:val="24"/>
        </w:rPr>
        <w:t>PET/CT仅推荐用于临床怀疑复发，但常规影像学阴性的时候，如持续CEA升高；不推荐将PET列为常规随访/监测手段。</w:t>
      </w:r>
    </w:p>
    <w:p w14:paraId="3531F0D5">
      <w:pPr>
        <w:pStyle w:val="16"/>
        <w:spacing w:before="0" w:after="0" w:line="360" w:lineRule="auto"/>
      </w:pPr>
      <w:r>
        <w:rPr>
          <w:rFonts w:ascii="Times New Roman" w:hAnsi="Times New Roman" w:eastAsia="宋体"/>
          <w:b w:val="0"/>
          <w:color w:val="000000"/>
          <w:sz w:val="24"/>
        </w:rPr>
        <w:t>越来越多的研究显示，动态ctDNA监测有助于提前预警术后复发转移，但其是否应常规用于术后随访并指导治疗仍存在争议。在临床实践中使用该技术或开展类似临床研究时，MRD检测技术的标准化是前提，越来越多的数据表明，肠癌领域基于原发肿瘤WES检测的tumor-informed个性化MRD检测技术具有更好的灵敏度和特异度。</w:t>
      </w:r>
    </w:p>
    <w:p w14:paraId="2D842345">
      <w:pPr>
        <w:pStyle w:val="4"/>
        <w:keepNext/>
        <w:spacing w:before="220" w:after="100" w:line="360" w:lineRule="auto"/>
      </w:pPr>
      <w:bookmarkStart w:id="24" w:name="_LarkToc00025"/>
      <w:r>
        <w:rPr>
          <w:rFonts w:ascii="Times New Roman" w:hAnsi="Times New Roman" w:eastAsia="黑体"/>
          <w:b/>
          <w:color w:val="000000"/>
          <w:sz w:val="28"/>
        </w:rPr>
        <w:t>4. 遗传筛查</w:t>
      </w:r>
      <w:bookmarkEnd w:id="24"/>
    </w:p>
    <w:p w14:paraId="348DFFB5">
      <w:pPr>
        <w:pStyle w:val="16"/>
        <w:spacing w:before="0" w:after="0" w:line="360" w:lineRule="auto"/>
      </w:pPr>
      <w:r>
        <w:rPr>
          <w:rFonts w:ascii="Times New Roman" w:hAnsi="Times New Roman" w:eastAsia="宋体"/>
          <w:b w:val="0"/>
          <w:color w:val="000000"/>
          <w:sz w:val="24"/>
        </w:rPr>
        <w:t>2026版指南强调规范术后随访流程，重视</w:t>
      </w:r>
      <w:r>
        <w:rPr>
          <w:rFonts w:ascii="Times New Roman" w:hAnsi="Times New Roman" w:eastAsia="宋体"/>
          <w:b/>
          <w:color w:val="000000"/>
          <w:sz w:val="24"/>
        </w:rPr>
        <w:t>林奇综合征等遗传性结直肠癌的筛查与干预</w:t>
      </w:r>
      <w:r>
        <w:rPr>
          <w:rFonts w:ascii="Times New Roman" w:hAnsi="Times New Roman" w:eastAsia="宋体"/>
          <w:b w:val="0"/>
          <w:color w:val="000000"/>
          <w:sz w:val="24"/>
        </w:rPr>
        <w:t>。</w:t>
      </w:r>
    </w:p>
    <w:p w14:paraId="1839E636">
      <w:pPr>
        <w:pStyle w:val="16"/>
        <w:spacing w:before="0" w:after="0" w:line="360" w:lineRule="auto"/>
      </w:pPr>
      <w:r>
        <w:rPr>
          <w:rFonts w:ascii="Times New Roman" w:hAnsi="Times New Roman" w:eastAsia="宋体"/>
          <w:b w:val="0"/>
          <w:color w:val="000000"/>
          <w:sz w:val="24"/>
        </w:rPr>
        <w:t>dMMR/MSI-H人群需进一步行BRAF V600E检测，若BRAF V600E为阴性，需进行林奇综合征相关基因的胚系检测。</w:t>
      </w:r>
    </w:p>
    <w:p w14:paraId="426E1135">
      <w:pPr>
        <w:spacing w:before="0" w:after="0" w:line="360" w:lineRule="auto"/>
        <w:jc w:val="both"/>
      </w:pPr>
      <w:r>
        <w:rPr>
          <w:rFonts w:ascii="Times New Roman" w:hAnsi="Times New Roman" w:eastAsia="宋体"/>
          <w:b/>
          <w:color w:val="000000"/>
          <w:sz w:val="24"/>
        </w:rPr>
        <w:t>遗传性结直肠癌筛查一般原则：</w:t>
      </w:r>
    </w:p>
    <w:p w14:paraId="1A68B285">
      <w:pPr>
        <w:pStyle w:val="16"/>
        <w:spacing w:before="0" w:after="0" w:line="360" w:lineRule="auto"/>
      </w:pPr>
      <w:r>
        <w:rPr>
          <w:rFonts w:ascii="Times New Roman" w:hAnsi="Times New Roman" w:eastAsia="宋体"/>
          <w:b w:val="0"/>
          <w:color w:val="000000"/>
          <w:sz w:val="24"/>
        </w:rPr>
        <w:t>所有结直肠癌患者应询问其肿瘤家族史并明确肠道息肉情况；</w:t>
      </w:r>
    </w:p>
    <w:p w14:paraId="67C729ED">
      <w:pPr>
        <w:pStyle w:val="16"/>
        <w:spacing w:before="0" w:after="0" w:line="360" w:lineRule="auto"/>
      </w:pPr>
      <w:r>
        <w:rPr>
          <w:rFonts w:ascii="Times New Roman" w:hAnsi="Times New Roman" w:eastAsia="宋体"/>
          <w:b w:val="0"/>
          <w:color w:val="000000"/>
          <w:sz w:val="24"/>
        </w:rPr>
        <w:t>全结直肠范围内息肉≥20枚者，或家族中有确诊家族性腺瘤性息肉病（FAP）患者的个体，须进行FAP筛查；</w:t>
      </w:r>
    </w:p>
    <w:p w14:paraId="5FFA9C2F">
      <w:pPr>
        <w:pStyle w:val="16"/>
        <w:spacing w:before="0" w:after="0" w:line="360" w:lineRule="auto"/>
      </w:pPr>
      <w:r>
        <w:rPr>
          <w:rFonts w:ascii="Times New Roman" w:hAnsi="Times New Roman" w:eastAsia="宋体"/>
          <w:b w:val="0"/>
          <w:color w:val="000000"/>
          <w:sz w:val="24"/>
        </w:rPr>
        <w:t>伴口腔黏膜、唇、鼻、面颊、眼周、生殖器、手足、肛周等处皮肤明显黑斑者，或家族中有确诊黑斑息肉（PJ）综合征的患者，须进行PJ综合征筛查；</w:t>
      </w:r>
    </w:p>
    <w:p w14:paraId="13B65031">
      <w:pPr>
        <w:pStyle w:val="16"/>
        <w:spacing w:before="0" w:after="0" w:line="360" w:lineRule="auto"/>
      </w:pPr>
      <w:r>
        <w:rPr>
          <w:rFonts w:ascii="Times New Roman" w:hAnsi="Times New Roman" w:eastAsia="宋体"/>
          <w:b w:val="0"/>
          <w:color w:val="000000"/>
          <w:sz w:val="24"/>
        </w:rPr>
        <w:t>排除FAP和PJ综合征的结直肠癌患者，年龄≤70岁者全部进行Lynch综合征筛查。</w:t>
      </w:r>
    </w:p>
    <w:p w14:paraId="063A91B2">
      <w:pPr>
        <w:spacing w:before="0" w:after="0" w:line="360" w:lineRule="auto"/>
        <w:jc w:val="both"/>
      </w:pPr>
      <w:r>
        <w:rPr>
          <w:rFonts w:ascii="Times New Roman" w:hAnsi="Times New Roman" w:eastAsia="宋体"/>
          <w:b/>
          <w:color w:val="000000"/>
          <w:sz w:val="24"/>
        </w:rPr>
        <w:t>Lynch综合征筛检：</w:t>
      </w:r>
    </w:p>
    <w:p w14:paraId="7FB5836F">
      <w:pPr>
        <w:pStyle w:val="16"/>
        <w:spacing w:before="0" w:after="0" w:line="360" w:lineRule="auto"/>
      </w:pPr>
      <w:r>
        <w:rPr>
          <w:rFonts w:ascii="Times New Roman" w:hAnsi="Times New Roman" w:eastAsia="宋体"/>
          <w:b w:val="0"/>
          <w:color w:val="000000"/>
          <w:sz w:val="24"/>
        </w:rPr>
        <w:t>符合下列条件者应高度怀疑为Lynch综合征家系，建议进一步基因检测：家系中至少有2例组织病理学明确诊断的结直肠癌患者，其中的2例为父母与子女或同胞兄弟姐妹的关系（一级血亲），并且符合以下任一条件：</w:t>
      </w:r>
    </w:p>
    <w:p w14:paraId="613B23F8">
      <w:pPr>
        <w:pStyle w:val="23"/>
        <w:spacing w:before="0" w:after="0" w:line="360" w:lineRule="auto"/>
      </w:pPr>
      <w:r>
        <w:rPr>
          <w:rFonts w:ascii="Times New Roman" w:hAnsi="Times New Roman" w:eastAsia="宋体"/>
          <w:b w:val="0"/>
          <w:color w:val="000000"/>
          <w:sz w:val="24"/>
        </w:rPr>
        <w:t>1. 至少1例为多发性结直肠癌患者（包括腺瘤）；</w:t>
      </w:r>
    </w:p>
    <w:p w14:paraId="63BACFE7">
      <w:pPr>
        <w:pStyle w:val="23"/>
        <w:spacing w:before="0" w:after="0" w:line="360" w:lineRule="auto"/>
      </w:pPr>
      <w:r>
        <w:rPr>
          <w:rFonts w:ascii="Times New Roman" w:hAnsi="Times New Roman" w:eastAsia="宋体"/>
          <w:b w:val="0"/>
          <w:color w:val="000000"/>
          <w:sz w:val="24"/>
        </w:rPr>
        <w:t>2. 至少1例结直肠癌发病年龄&lt;50岁；</w:t>
      </w:r>
    </w:p>
    <w:p w14:paraId="757E35F5">
      <w:pPr>
        <w:pStyle w:val="23"/>
        <w:spacing w:before="0" w:after="0" w:line="360" w:lineRule="auto"/>
      </w:pPr>
      <w:r>
        <w:rPr>
          <w:rFonts w:ascii="Times New Roman" w:hAnsi="Times New Roman" w:eastAsia="宋体"/>
          <w:b w:val="0"/>
          <w:color w:val="000000"/>
          <w:sz w:val="24"/>
        </w:rPr>
        <w:t>3. 家系中至少1例患Lynch综合征相关肠外恶性肿瘤（包括胃癌、子宫内膜癌、小肠癌、输尿管和肾盂癌、卵巢癌和肝胆系统癌）。</w:t>
      </w:r>
    </w:p>
    <w:p w14:paraId="5E5083B9">
      <w:pPr>
        <w:pStyle w:val="16"/>
        <w:spacing w:before="0" w:after="0" w:line="360" w:lineRule="auto"/>
      </w:pPr>
      <w:r>
        <w:rPr>
          <w:rFonts w:ascii="Times New Roman" w:hAnsi="Times New Roman" w:eastAsia="宋体"/>
          <w:b w:val="0"/>
          <w:color w:val="000000"/>
          <w:sz w:val="24"/>
        </w:rPr>
        <w:t>年龄≤70岁结直肠癌患者建议进行Lynch综合征遗传基因筛检。</w:t>
      </w:r>
    </w:p>
    <w:p w14:paraId="7B253714">
      <w:pPr>
        <w:pStyle w:val="16"/>
        <w:spacing w:before="0" w:after="0" w:line="360" w:lineRule="auto"/>
      </w:pPr>
      <w:r>
        <w:rPr>
          <w:rFonts w:ascii="Times New Roman" w:hAnsi="Times New Roman" w:eastAsia="宋体"/>
          <w:b w:val="0"/>
          <w:color w:val="000000"/>
          <w:sz w:val="24"/>
        </w:rPr>
        <w:t>所有结直肠癌患者进行Lynch综合征遗传基因筛检（Ⅱ级推荐）。</w:t>
      </w:r>
    </w:p>
    <w:p w14:paraId="3E18FCCF">
      <w:pPr>
        <w:pStyle w:val="3"/>
        <w:keepNext/>
        <w:spacing w:before="280" w:after="120" w:line="360" w:lineRule="auto"/>
      </w:pPr>
      <w:bookmarkStart w:id="25" w:name="_LarkToc00026"/>
      <w:r>
        <w:rPr>
          <w:rFonts w:ascii="Times New Roman" w:hAnsi="Times New Roman" w:eastAsia="黑体"/>
          <w:b/>
          <w:color w:val="000000"/>
          <w:sz w:val="32"/>
        </w:rPr>
        <w:t>七、与2025版流程的核心差异总结</w:t>
      </w:r>
      <w:bookmarkEnd w:id="25"/>
    </w:p>
    <w:p w14:paraId="396EDF03">
      <w:pPr>
        <w:keepNext/>
        <w:spacing w:before="80" w:after="80" w:line="240" w:lineRule="auto"/>
        <w:jc w:val="center"/>
      </w:pPr>
      <w:r>
        <w:rPr>
          <w:rFonts w:ascii="Times New Roman" w:hAnsi="Times New Roman" w:eastAsia="宋体"/>
          <w:b w:val="0"/>
          <w:color w:val="000000"/>
          <w:sz w:val="21"/>
        </w:rPr>
        <w:t>表1  与2025版流程的核心差异</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60" w:type="dxa"/>
          <w:left w:w="108" w:type="dxa"/>
          <w:bottom w:w="60" w:type="dxa"/>
          <w:right w:w="108" w:type="dxa"/>
        </w:tblCellMar>
      </w:tblPr>
      <w:tblGrid>
        <w:gridCol w:w="3024"/>
        <w:gridCol w:w="3024"/>
        <w:gridCol w:w="3024"/>
      </w:tblGrid>
      <w:tr w14:paraId="22333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tblHeader/>
          <w:jc w:val="center"/>
        </w:trPr>
        <w:tc>
          <w:tcPr>
            <w:tcW w:w="1814" w:type="dxa"/>
            <w:shd w:val="clear" w:color="auto" w:fill="D9D9D9"/>
            <w:vAlign w:val="center"/>
          </w:tcPr>
          <w:p w14:paraId="5FB1942E">
            <w:pPr>
              <w:spacing w:before="0" w:after="0" w:line="240" w:lineRule="auto"/>
              <w:jc w:val="center"/>
            </w:pPr>
            <w:r>
              <w:rPr>
                <w:rFonts w:ascii="Times New Roman" w:hAnsi="Times New Roman" w:eastAsia="宋体"/>
                <w:b/>
                <w:color w:val="000000"/>
                <w:sz w:val="21"/>
              </w:rPr>
              <w:t>环节</w:t>
            </w:r>
          </w:p>
        </w:tc>
        <w:tc>
          <w:tcPr>
            <w:tcW w:w="3175" w:type="dxa"/>
            <w:shd w:val="clear" w:color="auto" w:fill="D9D9D9"/>
            <w:vAlign w:val="center"/>
          </w:tcPr>
          <w:p w14:paraId="24C30065">
            <w:pPr>
              <w:spacing w:before="0" w:after="0" w:line="240" w:lineRule="auto"/>
              <w:jc w:val="center"/>
            </w:pPr>
            <w:r>
              <w:rPr>
                <w:rFonts w:ascii="Times New Roman" w:hAnsi="Times New Roman" w:eastAsia="宋体"/>
                <w:b/>
                <w:color w:val="000000"/>
                <w:sz w:val="21"/>
              </w:rPr>
              <w:t>2025版</w:t>
            </w:r>
          </w:p>
        </w:tc>
        <w:tc>
          <w:tcPr>
            <w:tcW w:w="4082" w:type="dxa"/>
            <w:shd w:val="clear" w:color="auto" w:fill="D9D9D9"/>
            <w:vAlign w:val="center"/>
          </w:tcPr>
          <w:p w14:paraId="48E3A5D5">
            <w:pPr>
              <w:spacing w:before="0" w:after="0" w:line="240" w:lineRule="auto"/>
              <w:jc w:val="center"/>
            </w:pPr>
            <w:r>
              <w:rPr>
                <w:rFonts w:ascii="Times New Roman" w:hAnsi="Times New Roman" w:eastAsia="宋体"/>
                <w:b/>
                <w:color w:val="000000"/>
                <w:sz w:val="21"/>
              </w:rPr>
              <w:t>2026版修订</w:t>
            </w:r>
          </w:p>
        </w:tc>
      </w:tr>
      <w:tr w14:paraId="0C86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78D1051E">
            <w:pPr>
              <w:spacing w:before="0" w:after="0" w:line="240" w:lineRule="auto"/>
              <w:jc w:val="center"/>
            </w:pPr>
            <w:r>
              <w:rPr>
                <w:rFonts w:ascii="Times New Roman" w:hAnsi="Times New Roman" w:eastAsia="宋体"/>
                <w:b w:val="0"/>
                <w:color w:val="000000"/>
                <w:sz w:val="21"/>
              </w:rPr>
              <w:t>章节名称</w:t>
            </w:r>
          </w:p>
        </w:tc>
        <w:tc>
          <w:tcPr>
            <w:tcW w:w="3175" w:type="dxa"/>
            <w:vAlign w:val="center"/>
          </w:tcPr>
          <w:p w14:paraId="5F885BBC">
            <w:pPr>
              <w:spacing w:before="0" w:after="0" w:line="240" w:lineRule="auto"/>
              <w:jc w:val="left"/>
            </w:pPr>
            <w:r>
              <w:rPr>
                <w:rFonts w:ascii="Times New Roman" w:hAnsi="Times New Roman" w:eastAsia="宋体"/>
                <w:b w:val="0"/>
                <w:color w:val="000000"/>
                <w:sz w:val="21"/>
              </w:rPr>
              <w:t>“手术治疗”</w:t>
            </w:r>
          </w:p>
        </w:tc>
        <w:tc>
          <w:tcPr>
            <w:tcW w:w="4082" w:type="dxa"/>
            <w:vAlign w:val="center"/>
          </w:tcPr>
          <w:p w14:paraId="2740A628">
            <w:pPr>
              <w:spacing w:before="0" w:after="0" w:line="240" w:lineRule="auto"/>
              <w:jc w:val="left"/>
            </w:pPr>
            <w:r>
              <w:rPr>
                <w:rFonts w:ascii="Times New Roman" w:hAnsi="Times New Roman" w:eastAsia="宋体"/>
                <w:b/>
                <w:color w:val="000000"/>
                <w:sz w:val="21"/>
              </w:rPr>
              <w:t>“围手术期治疗”</w:t>
            </w:r>
          </w:p>
        </w:tc>
      </w:tr>
      <w:tr w14:paraId="11D87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6B0D9BEA">
            <w:pPr>
              <w:spacing w:before="0" w:after="0" w:line="240" w:lineRule="auto"/>
              <w:jc w:val="center"/>
            </w:pPr>
            <w:r>
              <w:rPr>
                <w:rFonts w:ascii="Times New Roman" w:hAnsi="Times New Roman" w:eastAsia="宋体"/>
                <w:b w:val="0"/>
                <w:color w:val="000000"/>
                <w:sz w:val="21"/>
              </w:rPr>
              <w:t>MSI-H/dMMR cT4/N+</w:t>
            </w:r>
          </w:p>
        </w:tc>
        <w:tc>
          <w:tcPr>
            <w:tcW w:w="3175" w:type="dxa"/>
            <w:vAlign w:val="center"/>
          </w:tcPr>
          <w:p w14:paraId="46A635C3">
            <w:pPr>
              <w:spacing w:before="0" w:after="0" w:line="240" w:lineRule="auto"/>
              <w:jc w:val="left"/>
            </w:pPr>
            <w:r>
              <w:rPr>
                <w:rFonts w:ascii="Times New Roman" w:hAnsi="Times New Roman" w:eastAsia="宋体"/>
                <w:b w:val="0"/>
                <w:color w:val="000000"/>
                <w:sz w:val="21"/>
              </w:rPr>
              <w:t>直接手术</w:t>
            </w:r>
          </w:p>
        </w:tc>
        <w:tc>
          <w:tcPr>
            <w:tcW w:w="4082" w:type="dxa"/>
            <w:vAlign w:val="center"/>
          </w:tcPr>
          <w:p w14:paraId="7285310B">
            <w:pPr>
              <w:spacing w:before="0" w:after="0" w:line="240" w:lineRule="auto"/>
              <w:jc w:val="left"/>
            </w:pPr>
            <w:r>
              <w:rPr>
                <w:rFonts w:ascii="Times New Roman" w:hAnsi="Times New Roman" w:eastAsia="宋体"/>
                <w:b/>
                <w:color w:val="000000"/>
                <w:sz w:val="21"/>
              </w:rPr>
              <w:t>新辅助双免疫→手术（Ⅰ级推荐）</w:t>
            </w:r>
          </w:p>
        </w:tc>
      </w:tr>
      <w:tr w14:paraId="6E692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4422D841">
            <w:pPr>
              <w:spacing w:before="0" w:after="0" w:line="240" w:lineRule="auto"/>
              <w:jc w:val="center"/>
            </w:pPr>
            <w:r>
              <w:rPr>
                <w:rFonts w:ascii="Times New Roman" w:hAnsi="Times New Roman" w:eastAsia="宋体"/>
                <w:b w:val="0"/>
                <w:color w:val="000000"/>
                <w:sz w:val="21"/>
              </w:rPr>
              <w:t>MSI-H/dMMR cT4b</w:t>
            </w:r>
          </w:p>
        </w:tc>
        <w:tc>
          <w:tcPr>
            <w:tcW w:w="3175" w:type="dxa"/>
            <w:vAlign w:val="center"/>
          </w:tcPr>
          <w:p w14:paraId="30BE9C18">
            <w:pPr>
              <w:spacing w:before="0" w:after="0" w:line="240" w:lineRule="auto"/>
              <w:jc w:val="left"/>
            </w:pPr>
            <w:r>
              <w:rPr>
                <w:rFonts w:ascii="Times New Roman" w:hAnsi="Times New Roman" w:eastAsia="宋体"/>
                <w:b w:val="0"/>
                <w:color w:val="000000"/>
                <w:sz w:val="21"/>
              </w:rPr>
              <w:t>直接手术</w:t>
            </w:r>
          </w:p>
        </w:tc>
        <w:tc>
          <w:tcPr>
            <w:tcW w:w="4082" w:type="dxa"/>
            <w:vAlign w:val="center"/>
          </w:tcPr>
          <w:p w14:paraId="5E4FAED2">
            <w:pPr>
              <w:spacing w:before="0" w:after="0" w:line="240" w:lineRule="auto"/>
              <w:jc w:val="left"/>
            </w:pPr>
            <w:r>
              <w:rPr>
                <w:rFonts w:ascii="Times New Roman" w:hAnsi="Times New Roman" w:eastAsia="宋体"/>
                <w:b/>
                <w:color w:val="000000"/>
                <w:sz w:val="21"/>
              </w:rPr>
              <w:t>新辅助双免疫或单药PD-1→手术（Ⅱ级推荐）</w:t>
            </w:r>
          </w:p>
        </w:tc>
      </w:tr>
      <w:tr w14:paraId="2FC98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53AE308F">
            <w:pPr>
              <w:spacing w:before="0" w:after="0" w:line="240" w:lineRule="auto"/>
              <w:jc w:val="center"/>
            </w:pPr>
            <w:r>
              <w:rPr>
                <w:rFonts w:ascii="Times New Roman" w:hAnsi="Times New Roman" w:eastAsia="宋体"/>
                <w:b w:val="0"/>
                <w:color w:val="000000"/>
                <w:sz w:val="21"/>
              </w:rPr>
              <w:t>分子分型地位</w:t>
            </w:r>
          </w:p>
        </w:tc>
        <w:tc>
          <w:tcPr>
            <w:tcW w:w="3175" w:type="dxa"/>
            <w:vAlign w:val="center"/>
          </w:tcPr>
          <w:p w14:paraId="453DCEFE">
            <w:pPr>
              <w:spacing w:before="0" w:after="0" w:line="240" w:lineRule="auto"/>
              <w:jc w:val="left"/>
            </w:pPr>
            <w:r>
              <w:rPr>
                <w:rFonts w:ascii="Times New Roman" w:hAnsi="Times New Roman" w:eastAsia="宋体"/>
                <w:b w:val="0"/>
                <w:color w:val="000000"/>
                <w:sz w:val="21"/>
              </w:rPr>
              <w:t>参考性检测</w:t>
            </w:r>
          </w:p>
        </w:tc>
        <w:tc>
          <w:tcPr>
            <w:tcW w:w="4082" w:type="dxa"/>
            <w:vAlign w:val="center"/>
          </w:tcPr>
          <w:p w14:paraId="49F151BC">
            <w:pPr>
              <w:spacing w:before="0" w:after="0" w:line="240" w:lineRule="auto"/>
              <w:jc w:val="left"/>
            </w:pPr>
            <w:r>
              <w:rPr>
                <w:rFonts w:ascii="Times New Roman" w:hAnsi="Times New Roman" w:eastAsia="宋体"/>
                <w:b/>
                <w:color w:val="000000"/>
                <w:sz w:val="21"/>
              </w:rPr>
              <w:t>治疗决策必要依据（强制检测MMR/MSI）</w:t>
            </w:r>
          </w:p>
        </w:tc>
      </w:tr>
      <w:tr w14:paraId="1FDB8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44FDC822">
            <w:pPr>
              <w:spacing w:before="0" w:after="0" w:line="240" w:lineRule="auto"/>
              <w:jc w:val="center"/>
            </w:pPr>
            <w:r>
              <w:rPr>
                <w:rFonts w:ascii="Times New Roman" w:hAnsi="Times New Roman" w:eastAsia="宋体"/>
                <w:b w:val="0"/>
                <w:color w:val="000000"/>
                <w:sz w:val="21"/>
              </w:rPr>
              <w:t>Ⅲ期dMMR辅助化疗</w:t>
            </w:r>
          </w:p>
        </w:tc>
        <w:tc>
          <w:tcPr>
            <w:tcW w:w="3175" w:type="dxa"/>
            <w:vAlign w:val="center"/>
          </w:tcPr>
          <w:p w14:paraId="1CAC9F56">
            <w:pPr>
              <w:spacing w:before="0" w:after="0" w:line="240" w:lineRule="auto"/>
              <w:jc w:val="left"/>
            </w:pPr>
            <w:r>
              <w:rPr>
                <w:rFonts w:ascii="Times New Roman" w:hAnsi="Times New Roman" w:eastAsia="宋体"/>
                <w:b w:val="0"/>
                <w:color w:val="000000"/>
                <w:sz w:val="21"/>
              </w:rPr>
              <w:t>化疗为主</w:t>
            </w:r>
          </w:p>
        </w:tc>
        <w:tc>
          <w:tcPr>
            <w:tcW w:w="4082" w:type="dxa"/>
            <w:vAlign w:val="center"/>
          </w:tcPr>
          <w:p w14:paraId="64C3A600">
            <w:pPr>
              <w:spacing w:before="0" w:after="0" w:line="240" w:lineRule="auto"/>
              <w:jc w:val="left"/>
            </w:pPr>
            <w:r>
              <w:rPr>
                <w:rFonts w:ascii="Times New Roman" w:hAnsi="Times New Roman" w:eastAsia="宋体"/>
                <w:b/>
                <w:color w:val="000000"/>
                <w:sz w:val="21"/>
              </w:rPr>
              <w:t>FOLFOX+阿替利珠单抗（Ⅲ级推荐）</w:t>
            </w:r>
          </w:p>
        </w:tc>
      </w:tr>
      <w:tr w14:paraId="36B20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205E9C07">
            <w:pPr>
              <w:spacing w:before="0" w:after="0" w:line="240" w:lineRule="auto"/>
              <w:jc w:val="center"/>
            </w:pPr>
            <w:r>
              <w:rPr>
                <w:rFonts w:ascii="Times New Roman" w:hAnsi="Times New Roman" w:eastAsia="宋体"/>
                <w:b w:val="0"/>
                <w:color w:val="000000"/>
                <w:sz w:val="21"/>
              </w:rPr>
              <w:t>HER2检测</w:t>
            </w:r>
          </w:p>
        </w:tc>
        <w:tc>
          <w:tcPr>
            <w:tcW w:w="3175" w:type="dxa"/>
            <w:vAlign w:val="center"/>
          </w:tcPr>
          <w:p w14:paraId="72E9C3CB">
            <w:pPr>
              <w:spacing w:before="0" w:after="0" w:line="240" w:lineRule="auto"/>
              <w:jc w:val="left"/>
            </w:pPr>
            <w:r>
              <w:rPr>
                <w:rFonts w:ascii="Times New Roman" w:hAnsi="Times New Roman" w:eastAsia="宋体"/>
                <w:b w:val="0"/>
                <w:color w:val="000000"/>
                <w:sz w:val="21"/>
              </w:rPr>
              <w:t>未常规要求</w:t>
            </w:r>
          </w:p>
        </w:tc>
        <w:tc>
          <w:tcPr>
            <w:tcW w:w="4082" w:type="dxa"/>
            <w:vAlign w:val="center"/>
          </w:tcPr>
          <w:p w14:paraId="51872EF4">
            <w:pPr>
              <w:spacing w:before="0" w:after="0" w:line="240" w:lineRule="auto"/>
              <w:jc w:val="left"/>
            </w:pPr>
            <w:r>
              <w:rPr>
                <w:rFonts w:ascii="Times New Roman" w:hAnsi="Times New Roman" w:eastAsia="宋体"/>
                <w:b/>
                <w:color w:val="000000"/>
                <w:sz w:val="21"/>
              </w:rPr>
              <w:t>转移性/标准治疗失败患者Ⅱ级推荐，用于后线抗HER2治疗选择</w:t>
            </w:r>
          </w:p>
        </w:tc>
      </w:tr>
      <w:tr w14:paraId="0E929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760422C5">
            <w:pPr>
              <w:spacing w:before="0" w:after="0" w:line="240" w:lineRule="auto"/>
              <w:jc w:val="center"/>
            </w:pPr>
            <w:r>
              <w:rPr>
                <w:rFonts w:ascii="Times New Roman" w:hAnsi="Times New Roman" w:eastAsia="宋体"/>
                <w:b w:val="0"/>
                <w:color w:val="000000"/>
                <w:sz w:val="21"/>
              </w:rPr>
              <w:t>术后随访</w:t>
            </w:r>
          </w:p>
        </w:tc>
        <w:tc>
          <w:tcPr>
            <w:tcW w:w="3175" w:type="dxa"/>
            <w:vAlign w:val="center"/>
          </w:tcPr>
          <w:p w14:paraId="3D87CB5F">
            <w:pPr>
              <w:spacing w:before="0" w:after="0" w:line="240" w:lineRule="auto"/>
              <w:jc w:val="left"/>
            </w:pPr>
            <w:r>
              <w:rPr>
                <w:rFonts w:ascii="Times New Roman" w:hAnsi="Times New Roman" w:eastAsia="宋体"/>
                <w:b w:val="0"/>
                <w:color w:val="000000"/>
                <w:sz w:val="21"/>
              </w:rPr>
              <w:t>常规随访</w:t>
            </w:r>
          </w:p>
        </w:tc>
        <w:tc>
          <w:tcPr>
            <w:tcW w:w="4082" w:type="dxa"/>
            <w:vAlign w:val="center"/>
          </w:tcPr>
          <w:p w14:paraId="41438525">
            <w:pPr>
              <w:spacing w:before="0" w:after="0" w:line="240" w:lineRule="auto"/>
              <w:jc w:val="left"/>
            </w:pPr>
            <w:r>
              <w:rPr>
                <w:rFonts w:ascii="Times New Roman" w:hAnsi="Times New Roman" w:eastAsia="宋体"/>
                <w:b/>
                <w:color w:val="000000"/>
                <w:sz w:val="21"/>
              </w:rPr>
              <w:t>强化遗传筛查与个体化随访；Ⅱ—Ⅲ期前3年每3个月一次</w:t>
            </w:r>
          </w:p>
        </w:tc>
      </w:tr>
      <w:tr w14:paraId="6719E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108" w:type="dxa"/>
            <w:bottom w:w="60" w:type="dxa"/>
            <w:right w:w="108" w:type="dxa"/>
          </w:tblCellMar>
        </w:tblPrEx>
        <w:trPr>
          <w:cantSplit/>
          <w:jc w:val="center"/>
        </w:trPr>
        <w:tc>
          <w:tcPr>
            <w:tcW w:w="1814" w:type="dxa"/>
            <w:vAlign w:val="center"/>
          </w:tcPr>
          <w:p w14:paraId="328F120A">
            <w:pPr>
              <w:spacing w:before="0" w:after="0" w:line="240" w:lineRule="auto"/>
              <w:jc w:val="center"/>
            </w:pPr>
            <w:r>
              <w:rPr>
                <w:rFonts w:ascii="Times New Roman" w:hAnsi="Times New Roman" w:eastAsia="宋体"/>
                <w:b w:val="0"/>
                <w:color w:val="000000"/>
                <w:sz w:val="21"/>
              </w:rPr>
              <w:t>MSS/pMMR cT4b</w:t>
            </w:r>
          </w:p>
        </w:tc>
        <w:tc>
          <w:tcPr>
            <w:tcW w:w="3175" w:type="dxa"/>
            <w:vAlign w:val="center"/>
          </w:tcPr>
          <w:p w14:paraId="5373B4FE">
            <w:pPr>
              <w:spacing w:before="0" w:after="0" w:line="240" w:lineRule="auto"/>
              <w:jc w:val="left"/>
            </w:pPr>
            <w:r>
              <w:rPr>
                <w:rFonts w:ascii="Times New Roman" w:hAnsi="Times New Roman" w:eastAsia="宋体"/>
                <w:b w:val="0"/>
                <w:color w:val="000000"/>
                <w:sz w:val="21"/>
              </w:rPr>
              <w:t>可考虑术前新辅助化疗（Ⅲ级推荐）</w:t>
            </w:r>
          </w:p>
        </w:tc>
        <w:tc>
          <w:tcPr>
            <w:tcW w:w="4082" w:type="dxa"/>
            <w:vAlign w:val="center"/>
          </w:tcPr>
          <w:p w14:paraId="2B5356CE">
            <w:pPr>
              <w:spacing w:before="0" w:after="0" w:line="240" w:lineRule="auto"/>
              <w:jc w:val="left"/>
            </w:pPr>
            <w:r>
              <w:rPr>
                <w:rFonts w:ascii="Times New Roman" w:hAnsi="Times New Roman" w:eastAsia="宋体"/>
                <w:b/>
                <w:color w:val="000000"/>
                <w:sz w:val="21"/>
              </w:rPr>
              <w:t>Ⅰ级推荐先行2—3个月新辅助化疗（CAPEOX/FOLFOX或FOLFOXIRI），然后根治性手术</w:t>
            </w:r>
          </w:p>
        </w:tc>
      </w:tr>
    </w:tbl>
    <w:p w14:paraId="4512DCD4">
      <w:pPr>
        <w:spacing w:before="0" w:after="0" w:line="360" w:lineRule="auto"/>
        <w:ind w:firstLine="482" w:firstLineChars="200"/>
        <w:jc w:val="both"/>
        <w:rPr>
          <w:rFonts w:ascii="Times New Roman" w:hAnsi="Times New Roman" w:eastAsia="宋体"/>
          <w:b/>
          <w:color w:val="000000"/>
          <w:sz w:val="24"/>
        </w:rPr>
      </w:pPr>
    </w:p>
    <w:p w14:paraId="6DBB4A31">
      <w:pPr>
        <w:spacing w:before="0" w:after="0" w:line="360" w:lineRule="auto"/>
        <w:ind w:firstLine="482" w:firstLineChars="200"/>
        <w:jc w:val="both"/>
      </w:pPr>
      <w:r>
        <w:rPr>
          <w:rFonts w:ascii="Times New Roman" w:hAnsi="Times New Roman" w:eastAsia="宋体"/>
          <w:b/>
          <w:color w:val="000000"/>
          <w:sz w:val="24"/>
        </w:rPr>
        <w:t>整体流程可概括为</w:t>
      </w:r>
      <w:r>
        <w:rPr>
          <w:rFonts w:ascii="Times New Roman" w:hAnsi="Times New Roman" w:eastAsia="宋体"/>
          <w:b w:val="0"/>
          <w:color w:val="000000"/>
          <w:sz w:val="24"/>
        </w:rPr>
        <w:t>：</w:t>
      </w:r>
      <w:r>
        <w:rPr>
          <w:rFonts w:ascii="Times New Roman" w:hAnsi="Times New Roman" w:eastAsia="宋体"/>
          <w:b/>
          <w:bCs/>
          <w:color w:val="000000"/>
          <w:sz w:val="24"/>
        </w:rPr>
        <w:t>门诊肠镜怀疑</w:t>
      </w:r>
      <w:r>
        <w:rPr>
          <w:rFonts w:hint="eastAsia" w:ascii="Times New Roman" w:hAnsi="Times New Roman" w:eastAsia="宋体"/>
          <w:b/>
          <w:bCs/>
          <w:color w:val="000000"/>
          <w:sz w:val="24"/>
          <w:lang w:val="en-US" w:eastAsia="zh-CN"/>
        </w:rPr>
        <w:t>/确诊</w:t>
      </w:r>
      <w:r>
        <w:rPr>
          <w:rFonts w:ascii="Times New Roman" w:hAnsi="Times New Roman" w:eastAsia="宋体"/>
          <w:b/>
          <w:bCs/>
          <w:color w:val="000000"/>
          <w:sz w:val="24"/>
        </w:rPr>
        <w:t>结肠癌→收住院→住院后追踪病理、完善MMR/MSI检测及分期检查→按“分期-分子-临床”三维体系制定围手术期方案→MSI-H/dMMR cT4/N+先行新辅助免疫再手术，MSS/pMMR以手术为主→术后按分子分型分层辅助化疗→达到出院标准后出院随访。</w:t>
      </w:r>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Courier">
    <w:altName w:val="Courier New"/>
    <w:panose1 w:val="02000500000000000000"/>
    <w:charset w:val="00"/>
    <w:family w:val="auto"/>
    <w:pitch w:val="default"/>
    <w:sig w:usb0="00000000" w:usb1="00000000" w:usb2="00000000" w:usb3="00000000" w:csb0="00000001" w:csb1="00000000"/>
  </w:font>
  <w:font w:name="Segoe UI Emoji">
    <w:panose1 w:val="020B0502040204020203"/>
    <w:charset w:val="00"/>
    <w:family w:val="auto"/>
    <w:pitch w:val="default"/>
    <w:sig w:usb0="00000001" w:usb1="02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61652">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EDF7AA3">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EDF7AA3">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2fb5b937ddc7a1cf7ff2dece5785e7b341c7ba471853b3a8c89c1cd4d0d96dad:7add5e471892e8c5af169429378e742ec33a023e8a15d34667660dfe71967691"/>
  </w:docVars>
  <w:rsids>
    <w:rsidRoot w:val="00B47730"/>
    <w:rsid w:val="00034616"/>
    <w:rsid w:val="0006063C"/>
    <w:rsid w:val="0015074B"/>
    <w:rsid w:val="0029639D"/>
    <w:rsid w:val="00326F90"/>
    <w:rsid w:val="00AA1D8D"/>
    <w:rsid w:val="00B47730"/>
    <w:rsid w:val="00CB0664"/>
    <w:rsid w:val="00FC693F"/>
    <w:rsid w:val="469841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toc 2"/>
    <w:basedOn w:val="1"/>
    <w:next w:val="1"/>
    <w:semiHidden/>
    <w:unhideWhenUsed/>
    <w:uiPriority w:val="39"/>
    <w:pPr>
      <w:spacing w:line="240" w:lineRule="auto"/>
      <w:ind w:left="420" w:leftChars="200" w:firstLine="0" w:firstLineChars="0"/>
    </w:pPr>
  </w:style>
  <w:style w:type="paragraph" w:styleId="30">
    <w:name w:val="Body Text 2"/>
    <w:basedOn w:val="1"/>
    <w:link w:val="147"/>
    <w:unhideWhenUsed/>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uiPriority w:val="99"/>
  </w:style>
  <w:style w:type="character" w:customStyle="1" w:styleId="147">
    <w:name w:val="Body Text 2 Char"/>
    <w:basedOn w:val="134"/>
    <w:link w:val="30"/>
    <w:uiPriority w:val="99"/>
  </w:style>
  <w:style w:type="character" w:customStyle="1" w:styleId="148">
    <w:name w:val="Body Text 3 Char"/>
    <w:basedOn w:val="134"/>
    <w:link w:val="17"/>
    <w:uiPriority w:val="99"/>
    <w:rPr>
      <w:sz w:val="16"/>
      <w:szCs w:val="16"/>
    </w:rPr>
  </w:style>
  <w:style w:type="character" w:customStyle="1" w:styleId="149">
    <w:name w:val="Macro Text Char"/>
    <w:basedOn w:val="134"/>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uiPriority w:val="29"/>
    <w:rPr>
      <w:i/>
      <w:iCs/>
      <w:color w:val="000000" w:themeColor="text1"/>
      <w14:textFill>
        <w14:solidFill>
          <w14:schemeClr w14:val="tx1"/>
        </w14:solidFill>
      </w14:textFill>
    </w:rPr>
  </w:style>
  <w:style w:type="character" w:customStyle="1" w:styleId="152">
    <w:name w:val="Heading 4 Char"/>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5804</Words>
  <Characters>7025</Characters>
  <Lines>0</Lines>
  <Paragraphs>0</Paragraphs>
  <TotalTime>0</TotalTime>
  <ScaleCrop>false</ScaleCrop>
  <LinksUpToDate>false</LinksUpToDate>
  <CharactersWithSpaces>7113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白哥</cp:lastModifiedBy>
  <dcterms:modified xsi:type="dcterms:W3CDTF">2026-10-13T14:43:10Z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eyJoZGlkIjoiNGI2NDg2OWQ5YThmNjY2Y2QwOTI3OGY0YTIxZTg2ZTYiLCJ1c2VySWQiOiIyMzQyMTI1NTAifQ==</vt:lpwstr>
  </property>
  <property fmtid="{D5CDD505-2E9C-101B-9397-08002B2CF9AE}" pid="3" name="KSOProductBuildVer">
    <vt:lpwstr>2052-12.1.0.28505</vt:lpwstr>
  </property>
  <property fmtid="{D5CDD505-2E9C-101B-9397-08002B2CF9AE}" pid="4" name="ICV">
    <vt:lpwstr>EAAAF826F20E45BCB42B291AD94201F1_12</vt:lpwstr>
  </property>
</Properties>
</file>