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9D5D31">
      <w:pPr>
        <w:pStyle w:val="33"/>
        <w:spacing w:before="0" w:after="360" w:line="360" w:lineRule="auto"/>
        <w:jc w:val="center"/>
        <w:rPr>
          <w:rFonts w:ascii="Times New Roman" w:hAnsi="Times New Roman" w:eastAsia="黑体"/>
          <w:b/>
          <w:color w:val="000000"/>
          <w:sz w:val="36"/>
        </w:rPr>
      </w:pPr>
      <w:r>
        <w:rPr>
          <w:rFonts w:ascii="Times New Roman" w:hAnsi="Times New Roman" w:eastAsia="黑体"/>
          <w:b/>
          <w:color w:val="000000"/>
          <w:sz w:val="36"/>
        </w:rPr>
        <w:t>门诊胃镜疑诊</w:t>
      </w:r>
      <w:r>
        <w:rPr>
          <w:rFonts w:hint="eastAsia" w:ascii="Times New Roman" w:hAnsi="Times New Roman" w:eastAsia="黑体"/>
          <w:b/>
          <w:color w:val="000000"/>
          <w:sz w:val="36"/>
          <w:lang w:val="en-US" w:eastAsia="zh-CN"/>
        </w:rPr>
        <w:t>/确诊</w:t>
      </w:r>
      <w:r>
        <w:rPr>
          <w:rFonts w:ascii="Times New Roman" w:hAnsi="Times New Roman" w:eastAsia="黑体"/>
          <w:b/>
          <w:color w:val="000000"/>
          <w:sz w:val="36"/>
        </w:rPr>
        <w:t>胃癌住院诊疗流程</w:t>
      </w:r>
    </w:p>
    <w:p w14:paraId="42EC4B9A">
      <w:pPr>
        <w:pStyle w:val="33"/>
        <w:spacing w:before="0" w:after="360" w:line="360" w:lineRule="auto"/>
        <w:jc w:val="center"/>
        <w:rPr>
          <w:rFonts w:ascii="Times New Roman" w:hAnsi="Times New Roman" w:eastAsia="黑体"/>
          <w:b/>
          <w:color w:val="000000"/>
          <w:sz w:val="36"/>
        </w:rPr>
      </w:pPr>
      <w:r>
        <w:rPr>
          <w:rFonts w:ascii="Times New Roman" w:hAnsi="Times New Roman" w:eastAsia="黑体"/>
          <w:b/>
          <w:color w:val="000000"/>
          <w:sz w:val="36"/>
        </w:rPr>
        <w:t>（结合CSCO 2026胃癌指南）</w:t>
      </w:r>
    </w:p>
    <w:p w14:paraId="402D32DC">
      <w:pPr>
        <w:pStyle w:val="33"/>
        <w:spacing w:before="0" w:after="360" w:line="360" w:lineRule="auto"/>
        <w:jc w:val="center"/>
        <w:rPr>
          <w:rFonts w:hint="eastAsia" w:ascii="Times New Roman" w:hAnsi="Times New Roman" w:eastAsia="黑体"/>
          <w:b/>
          <w:color w:val="000000"/>
          <w:sz w:val="36"/>
          <w:lang w:val="en-US" w:eastAsia="zh-CN"/>
        </w:rPr>
      </w:pPr>
      <w:r>
        <w:rPr>
          <w:rFonts w:hint="eastAsia" w:ascii="Times New Roman" w:hAnsi="Times New Roman" w:eastAsia="黑体"/>
          <w:b/>
          <w:color w:val="000000"/>
          <w:sz w:val="36"/>
          <w:lang w:val="en-US" w:eastAsia="zh-CN"/>
        </w:rPr>
        <w:t>白少华</w:t>
      </w:r>
    </w:p>
    <w:p w14:paraId="5B70CC14">
      <w:pPr>
        <w:jc w:val="center"/>
        <w:rPr>
          <w:rFonts w:hint="default" w:eastAsiaTheme="minorEastAsia"/>
          <w:lang w:val="en-US" w:eastAsia="zh-CN"/>
        </w:rPr>
      </w:pPr>
      <w:r>
        <w:rPr>
          <w:rFonts w:hint="eastAsia"/>
          <w:lang w:val="en-US" w:eastAsia="zh-CN"/>
        </w:rPr>
        <w:t>个人观点，仅供参考，不作为具体诊疗依据，不承担任何法律后果。</w:t>
      </w:r>
    </w:p>
    <w:p w14:paraId="7E703653">
      <w:pPr>
        <w:pageBreakBefore/>
        <w:spacing w:before="0" w:after="240" w:line="360" w:lineRule="auto"/>
        <w:jc w:val="center"/>
      </w:pPr>
      <w:r>
        <w:rPr>
          <w:rFonts w:ascii="Times New Roman" w:hAnsi="Times New Roman" w:eastAsia="黑体"/>
          <w:b/>
          <w:color w:val="000000"/>
          <w:sz w:val="32"/>
        </w:rPr>
        <w:t>目录</w:t>
      </w:r>
    </w:p>
    <w:p w14:paraId="5C4A0988">
      <w:pPr>
        <w:pStyle w:val="26"/>
        <w:tabs>
          <w:tab w:val="right" w:leader="dot" w:pos="9072"/>
        </w:tabs>
      </w:pPr>
      <w:r>
        <w:fldChar w:fldCharType="begin"/>
      </w:r>
      <w:r>
        <w:instrText xml:space="preserve"> TOC \o "1-2" \h \z \u </w:instrText>
      </w:r>
      <w:r>
        <w:fldChar w:fldCharType="separate"/>
      </w:r>
      <w:r>
        <w:fldChar w:fldCharType="begin"/>
      </w:r>
      <w:r>
        <w:instrText xml:space="preserve"> HYPERLINK \l "_LarkToc00001" </w:instrText>
      </w:r>
      <w:r>
        <w:fldChar w:fldCharType="separate"/>
      </w:r>
      <w:r>
        <w:t>一、门诊阶段：胃镜怀疑胃癌，开</w:t>
      </w:r>
      <w:r>
        <w:rPr>
          <w:rFonts w:hint="eastAsia"/>
          <w:lang w:val="en-US" w:eastAsia="zh-CN"/>
        </w:rPr>
        <w:t>具</w:t>
      </w:r>
      <w:r>
        <w:t>住院证</w:t>
      </w:r>
      <w:r>
        <w:tab/>
      </w:r>
      <w:r>
        <w:fldChar w:fldCharType="begin"/>
      </w:r>
      <w:r>
        <w:instrText xml:space="preserve"> PAGEREF _LarkToc00001 \h </w:instrText>
      </w:r>
      <w:r>
        <w:fldChar w:fldCharType="separate"/>
      </w:r>
      <w:r>
        <w:t>3</w:t>
      </w:r>
      <w:r>
        <w:fldChar w:fldCharType="end"/>
      </w:r>
      <w:r>
        <w:fldChar w:fldCharType="end"/>
      </w:r>
    </w:p>
    <w:p w14:paraId="4B3B4D66">
      <w:pPr>
        <w:pStyle w:val="29"/>
        <w:tabs>
          <w:tab w:val="right" w:leader="dot" w:pos="9072"/>
        </w:tabs>
      </w:pPr>
      <w:r>
        <w:fldChar w:fldCharType="begin"/>
      </w:r>
      <w:r>
        <w:instrText xml:space="preserve"> HYPERLINK \l "_LarkToc00002" </w:instrText>
      </w:r>
      <w:r>
        <w:fldChar w:fldCharType="separate"/>
      </w:r>
      <w:r>
        <w:t>（一）门诊胃镜</w:t>
      </w:r>
      <w:r>
        <w:tab/>
      </w:r>
      <w:r>
        <w:fldChar w:fldCharType="begin"/>
      </w:r>
      <w:r>
        <w:instrText xml:space="preserve"> PAGEREF _LarkToc00002 \h </w:instrText>
      </w:r>
      <w:r>
        <w:fldChar w:fldCharType="separate"/>
      </w:r>
      <w:r>
        <w:t>3</w:t>
      </w:r>
      <w:r>
        <w:fldChar w:fldCharType="end"/>
      </w:r>
      <w:r>
        <w:fldChar w:fldCharType="end"/>
      </w:r>
    </w:p>
    <w:p w14:paraId="6D3DC940">
      <w:pPr>
        <w:pStyle w:val="29"/>
        <w:tabs>
          <w:tab w:val="right" w:leader="dot" w:pos="9072"/>
        </w:tabs>
      </w:pPr>
      <w:r>
        <w:fldChar w:fldCharType="begin"/>
      </w:r>
      <w:r>
        <w:instrText xml:space="preserve"> HYPERLINK \l "_LarkToc00003" </w:instrText>
      </w:r>
      <w:r>
        <w:fldChar w:fldCharType="separate"/>
      </w:r>
      <w:r>
        <w:t>（二）门诊医生判断有住院指征</w:t>
      </w:r>
      <w:r>
        <w:tab/>
      </w:r>
      <w:r>
        <w:fldChar w:fldCharType="begin"/>
      </w:r>
      <w:r>
        <w:instrText xml:space="preserve"> PAGEREF _LarkToc00003 \h </w:instrText>
      </w:r>
      <w:r>
        <w:fldChar w:fldCharType="separate"/>
      </w:r>
      <w:r>
        <w:t>3</w:t>
      </w:r>
      <w:r>
        <w:fldChar w:fldCharType="end"/>
      </w:r>
      <w:r>
        <w:fldChar w:fldCharType="end"/>
      </w:r>
    </w:p>
    <w:p w14:paraId="1D80B605">
      <w:pPr>
        <w:pStyle w:val="29"/>
        <w:tabs>
          <w:tab w:val="right" w:leader="dot" w:pos="9072"/>
        </w:tabs>
      </w:pPr>
      <w:r>
        <w:fldChar w:fldCharType="begin"/>
      </w:r>
      <w:r>
        <w:instrText xml:space="preserve"> HYPERLINK \l "_LarkToc00004" </w:instrText>
      </w:r>
      <w:r>
        <w:fldChar w:fldCharType="separate"/>
      </w:r>
      <w:r>
        <w:t>（三）与患者沟通</w:t>
      </w:r>
      <w:r>
        <w:tab/>
      </w:r>
      <w:r>
        <w:fldChar w:fldCharType="begin"/>
      </w:r>
      <w:r>
        <w:instrText xml:space="preserve"> PAGEREF _LarkToc00004 \h </w:instrText>
      </w:r>
      <w:r>
        <w:fldChar w:fldCharType="separate"/>
      </w:r>
      <w:r>
        <w:t>3</w:t>
      </w:r>
      <w:r>
        <w:fldChar w:fldCharType="end"/>
      </w:r>
      <w:r>
        <w:fldChar w:fldCharType="end"/>
      </w:r>
    </w:p>
    <w:p w14:paraId="765E8A84">
      <w:pPr>
        <w:pStyle w:val="29"/>
        <w:tabs>
          <w:tab w:val="right" w:leader="dot" w:pos="9072"/>
        </w:tabs>
      </w:pPr>
      <w:r>
        <w:fldChar w:fldCharType="begin"/>
      </w:r>
      <w:r>
        <w:instrText xml:space="preserve"> HYPERLINK \l "_LarkToc00005" </w:instrText>
      </w:r>
      <w:r>
        <w:fldChar w:fldCharType="separate"/>
      </w:r>
      <w:r>
        <w:t>（四）办理入院</w:t>
      </w:r>
      <w:r>
        <w:tab/>
      </w:r>
      <w:r>
        <w:fldChar w:fldCharType="begin"/>
      </w:r>
      <w:r>
        <w:instrText xml:space="preserve"> PAGEREF _LarkToc00005 \h </w:instrText>
      </w:r>
      <w:r>
        <w:fldChar w:fldCharType="separate"/>
      </w:r>
      <w:r>
        <w:t>3</w:t>
      </w:r>
      <w:r>
        <w:fldChar w:fldCharType="end"/>
      </w:r>
      <w:r>
        <w:fldChar w:fldCharType="end"/>
      </w:r>
    </w:p>
    <w:p w14:paraId="67AE90C9">
      <w:pPr>
        <w:pStyle w:val="26"/>
        <w:tabs>
          <w:tab w:val="right" w:leader="dot" w:pos="9072"/>
        </w:tabs>
      </w:pPr>
      <w:r>
        <w:fldChar w:fldCharType="begin"/>
      </w:r>
      <w:r>
        <w:instrText xml:space="preserve"> HYPERLINK \l "_LarkToc00006" </w:instrText>
      </w:r>
      <w:r>
        <w:fldChar w:fldCharType="separate"/>
      </w:r>
      <w:r>
        <w:t>二、住院后第1—3天：完善检查，等待病理</w:t>
      </w:r>
      <w:r>
        <w:tab/>
      </w:r>
      <w:r>
        <w:fldChar w:fldCharType="begin"/>
      </w:r>
      <w:r>
        <w:instrText xml:space="preserve"> PAGEREF _LarkToc00006 \h </w:instrText>
      </w:r>
      <w:r>
        <w:fldChar w:fldCharType="separate"/>
      </w:r>
      <w:r>
        <w:t>3</w:t>
      </w:r>
      <w:r>
        <w:fldChar w:fldCharType="end"/>
      </w:r>
      <w:r>
        <w:fldChar w:fldCharType="end"/>
      </w:r>
    </w:p>
    <w:p w14:paraId="4F4B4E55">
      <w:pPr>
        <w:pStyle w:val="29"/>
        <w:tabs>
          <w:tab w:val="right" w:leader="dot" w:pos="9072"/>
        </w:tabs>
      </w:pPr>
      <w:r>
        <w:fldChar w:fldCharType="begin"/>
      </w:r>
      <w:r>
        <w:instrText xml:space="preserve"> HYPERLINK \l "_LarkToc00007" </w:instrText>
      </w:r>
      <w:r>
        <w:fldChar w:fldCharType="separate"/>
      </w:r>
      <w:r>
        <w:t>（一）入院记录与查体</w:t>
      </w:r>
      <w:r>
        <w:tab/>
      </w:r>
      <w:r>
        <w:fldChar w:fldCharType="begin"/>
      </w:r>
      <w:r>
        <w:instrText xml:space="preserve"> PAGEREF _LarkToc00007 \h </w:instrText>
      </w:r>
      <w:r>
        <w:fldChar w:fldCharType="separate"/>
      </w:r>
      <w:r>
        <w:t>3</w:t>
      </w:r>
      <w:r>
        <w:fldChar w:fldCharType="end"/>
      </w:r>
      <w:r>
        <w:fldChar w:fldCharType="end"/>
      </w:r>
    </w:p>
    <w:p w14:paraId="43712254">
      <w:pPr>
        <w:pStyle w:val="29"/>
        <w:tabs>
          <w:tab w:val="right" w:leader="dot" w:pos="9072"/>
        </w:tabs>
      </w:pPr>
      <w:r>
        <w:fldChar w:fldCharType="begin"/>
      </w:r>
      <w:r>
        <w:instrText xml:space="preserve"> HYPERLINK \l "_LarkToc00008" </w:instrText>
      </w:r>
      <w:r>
        <w:fldChar w:fldCharType="separate"/>
      </w:r>
      <w:r>
        <w:t>（二）追踪门诊病理</w:t>
      </w:r>
      <w:r>
        <w:tab/>
      </w:r>
      <w:r>
        <w:fldChar w:fldCharType="begin"/>
      </w:r>
      <w:r>
        <w:instrText xml:space="preserve"> PAGEREF _LarkToc00008 \h </w:instrText>
      </w:r>
      <w:r>
        <w:fldChar w:fldCharType="separate"/>
      </w:r>
      <w:r>
        <w:t>3</w:t>
      </w:r>
      <w:r>
        <w:fldChar w:fldCharType="end"/>
      </w:r>
      <w:r>
        <w:fldChar w:fldCharType="end"/>
      </w:r>
    </w:p>
    <w:p w14:paraId="694C29DF">
      <w:pPr>
        <w:pStyle w:val="29"/>
        <w:tabs>
          <w:tab w:val="right" w:leader="dot" w:pos="9072"/>
        </w:tabs>
      </w:pPr>
      <w:r>
        <w:fldChar w:fldCharType="begin"/>
      </w:r>
      <w:r>
        <w:instrText xml:space="preserve"> HYPERLINK \l "_LarkToc00009" </w:instrText>
      </w:r>
      <w:r>
        <w:fldChar w:fldCharType="separate"/>
      </w:r>
      <w:r>
        <w:t>（三）完善分期和术前检查</w:t>
      </w:r>
      <w:r>
        <w:tab/>
      </w:r>
      <w:r>
        <w:fldChar w:fldCharType="begin"/>
      </w:r>
      <w:r>
        <w:instrText xml:space="preserve"> PAGEREF _LarkToc00009 \h </w:instrText>
      </w:r>
      <w:r>
        <w:fldChar w:fldCharType="separate"/>
      </w:r>
      <w:r>
        <w:t>4</w:t>
      </w:r>
      <w:r>
        <w:fldChar w:fldCharType="end"/>
      </w:r>
      <w:r>
        <w:fldChar w:fldCharType="end"/>
      </w:r>
    </w:p>
    <w:p w14:paraId="056185C3">
      <w:pPr>
        <w:pStyle w:val="26"/>
        <w:tabs>
          <w:tab w:val="right" w:leader="dot" w:pos="9072"/>
        </w:tabs>
      </w:pPr>
      <w:r>
        <w:fldChar w:fldCharType="begin"/>
      </w:r>
      <w:r>
        <w:instrText xml:space="preserve"> HYPERLINK \l "_LarkToc00010" </w:instrText>
      </w:r>
      <w:r>
        <w:fldChar w:fldCharType="separate"/>
      </w:r>
      <w:r>
        <w:t>三、住院第3—7天：确诊、分期、多学科决策</w:t>
      </w:r>
      <w:r>
        <w:tab/>
      </w:r>
      <w:r>
        <w:fldChar w:fldCharType="begin"/>
      </w:r>
      <w:r>
        <w:instrText xml:space="preserve"> PAGEREF _LarkToc00010 \h </w:instrText>
      </w:r>
      <w:r>
        <w:fldChar w:fldCharType="separate"/>
      </w:r>
      <w:r>
        <w:t>5</w:t>
      </w:r>
      <w:r>
        <w:fldChar w:fldCharType="end"/>
      </w:r>
      <w:r>
        <w:fldChar w:fldCharType="end"/>
      </w:r>
    </w:p>
    <w:p w14:paraId="244799F5">
      <w:pPr>
        <w:pStyle w:val="29"/>
        <w:tabs>
          <w:tab w:val="right" w:leader="dot" w:pos="9072"/>
        </w:tabs>
      </w:pPr>
      <w:r>
        <w:fldChar w:fldCharType="begin"/>
      </w:r>
      <w:r>
        <w:instrText xml:space="preserve"> HYPERLINK \l "_LarkToc00011" </w:instrText>
      </w:r>
      <w:r>
        <w:fldChar w:fldCharType="separate"/>
      </w:r>
      <w:r>
        <w:t>（一）病理确诊</w:t>
      </w:r>
      <w:r>
        <w:tab/>
      </w:r>
      <w:r>
        <w:fldChar w:fldCharType="begin"/>
      </w:r>
      <w:r>
        <w:instrText xml:space="preserve"> PAGEREF _LarkToc00011 \h </w:instrText>
      </w:r>
      <w:r>
        <w:fldChar w:fldCharType="separate"/>
      </w:r>
      <w:r>
        <w:t>5</w:t>
      </w:r>
      <w:r>
        <w:fldChar w:fldCharType="end"/>
      </w:r>
      <w:r>
        <w:fldChar w:fldCharType="end"/>
      </w:r>
    </w:p>
    <w:p w14:paraId="575C2A70">
      <w:pPr>
        <w:pStyle w:val="29"/>
        <w:tabs>
          <w:tab w:val="right" w:leader="dot" w:pos="9072"/>
        </w:tabs>
      </w:pPr>
      <w:r>
        <w:fldChar w:fldCharType="begin"/>
      </w:r>
      <w:r>
        <w:instrText xml:space="preserve"> HYPERLINK \l "_LarkToc00012" </w:instrText>
      </w:r>
      <w:r>
        <w:fldChar w:fldCharType="separate"/>
      </w:r>
      <w:r>
        <w:t>（二）临床分期</w:t>
      </w:r>
      <w:r>
        <w:tab/>
      </w:r>
      <w:r>
        <w:fldChar w:fldCharType="begin"/>
      </w:r>
      <w:r>
        <w:instrText xml:space="preserve"> PAGEREF _LarkToc00012 \h </w:instrText>
      </w:r>
      <w:r>
        <w:fldChar w:fldCharType="separate"/>
      </w:r>
      <w:r>
        <w:t>6</w:t>
      </w:r>
      <w:r>
        <w:fldChar w:fldCharType="end"/>
      </w:r>
      <w:r>
        <w:fldChar w:fldCharType="end"/>
      </w:r>
    </w:p>
    <w:p w14:paraId="709DF890">
      <w:pPr>
        <w:pStyle w:val="29"/>
        <w:tabs>
          <w:tab w:val="right" w:leader="dot" w:pos="9072"/>
        </w:tabs>
      </w:pPr>
      <w:r>
        <w:fldChar w:fldCharType="begin"/>
      </w:r>
      <w:r>
        <w:instrText xml:space="preserve"> HYPERLINK \l "_LarkToc00013" </w:instrText>
      </w:r>
      <w:r>
        <w:fldChar w:fldCharType="separate"/>
      </w:r>
      <w:r>
        <w:t>（三）MDT多学科会诊</w:t>
      </w:r>
      <w:r>
        <w:tab/>
      </w:r>
      <w:r>
        <w:fldChar w:fldCharType="begin"/>
      </w:r>
      <w:r>
        <w:instrText xml:space="preserve"> PAGEREF _LarkToc00013 \h </w:instrText>
      </w:r>
      <w:r>
        <w:fldChar w:fldCharType="separate"/>
      </w:r>
      <w:r>
        <w:t>6</w:t>
      </w:r>
      <w:r>
        <w:fldChar w:fldCharType="end"/>
      </w:r>
      <w:r>
        <w:fldChar w:fldCharType="end"/>
      </w:r>
    </w:p>
    <w:p w14:paraId="497BACA6">
      <w:pPr>
        <w:pStyle w:val="29"/>
        <w:tabs>
          <w:tab w:val="right" w:leader="dot" w:pos="9072"/>
        </w:tabs>
      </w:pPr>
      <w:r>
        <w:fldChar w:fldCharType="begin"/>
      </w:r>
      <w:r>
        <w:instrText xml:space="preserve"> HYPERLINK \l "_LarkToc00014" </w:instrText>
      </w:r>
      <w:r>
        <w:fldChar w:fldCharType="separate"/>
      </w:r>
      <w:r>
        <w:t>（四）制定治疗方案</w:t>
      </w:r>
      <w:r>
        <w:tab/>
      </w:r>
      <w:r>
        <w:fldChar w:fldCharType="begin"/>
      </w:r>
      <w:r>
        <w:instrText xml:space="preserve"> PAGEREF _LarkToc00014 \h </w:instrText>
      </w:r>
      <w:r>
        <w:fldChar w:fldCharType="separate"/>
      </w:r>
      <w:r>
        <w:t>6</w:t>
      </w:r>
      <w:r>
        <w:fldChar w:fldCharType="end"/>
      </w:r>
      <w:r>
        <w:fldChar w:fldCharType="end"/>
      </w:r>
    </w:p>
    <w:p w14:paraId="082649D5">
      <w:pPr>
        <w:pStyle w:val="26"/>
        <w:tabs>
          <w:tab w:val="right" w:leader="dot" w:pos="9072"/>
        </w:tabs>
      </w:pPr>
      <w:r>
        <w:fldChar w:fldCharType="begin"/>
      </w:r>
      <w:r>
        <w:instrText xml:space="preserve"> HYPERLINK \l "_LarkToc00015" </w:instrText>
      </w:r>
      <w:r>
        <w:fldChar w:fldCharType="separate"/>
      </w:r>
      <w:r>
        <w:t>四、治疗实施与术后恢复</w:t>
      </w:r>
      <w:r>
        <w:tab/>
      </w:r>
      <w:r>
        <w:fldChar w:fldCharType="begin"/>
      </w:r>
      <w:r>
        <w:instrText xml:space="preserve"> PAGEREF _LarkToc00015 \h </w:instrText>
      </w:r>
      <w:r>
        <w:fldChar w:fldCharType="separate"/>
      </w:r>
      <w:r>
        <w:t>13</w:t>
      </w:r>
      <w:r>
        <w:fldChar w:fldCharType="end"/>
      </w:r>
      <w:r>
        <w:fldChar w:fldCharType="end"/>
      </w:r>
    </w:p>
    <w:p w14:paraId="32184FE0">
      <w:pPr>
        <w:pStyle w:val="29"/>
        <w:tabs>
          <w:tab w:val="right" w:leader="dot" w:pos="9072"/>
        </w:tabs>
      </w:pPr>
      <w:r>
        <w:fldChar w:fldCharType="begin"/>
      </w:r>
      <w:r>
        <w:instrText xml:space="preserve"> HYPERLINK \l "_LarkToc00016" </w:instrText>
      </w:r>
      <w:r>
        <w:fldChar w:fldCharType="separate"/>
      </w:r>
      <w:r>
        <w:t>（一）手术治疗</w:t>
      </w:r>
      <w:r>
        <w:tab/>
      </w:r>
      <w:r>
        <w:fldChar w:fldCharType="begin"/>
      </w:r>
      <w:r>
        <w:instrText xml:space="preserve"> PAGEREF _LarkToc00016 \h </w:instrText>
      </w:r>
      <w:r>
        <w:fldChar w:fldCharType="separate"/>
      </w:r>
      <w:r>
        <w:t>13</w:t>
      </w:r>
      <w:r>
        <w:fldChar w:fldCharType="end"/>
      </w:r>
      <w:r>
        <w:fldChar w:fldCharType="end"/>
      </w:r>
    </w:p>
    <w:p w14:paraId="7E5B817B">
      <w:pPr>
        <w:pStyle w:val="29"/>
        <w:tabs>
          <w:tab w:val="right" w:leader="dot" w:pos="9072"/>
        </w:tabs>
      </w:pPr>
      <w:r>
        <w:fldChar w:fldCharType="begin"/>
      </w:r>
      <w:r>
        <w:instrText xml:space="preserve"> HYPERLINK \l "_LarkToc00017" </w:instrText>
      </w:r>
      <w:r>
        <w:fldChar w:fldCharType="separate"/>
      </w:r>
      <w:r>
        <w:t>（二）围手术期管理</w:t>
      </w:r>
      <w:r>
        <w:tab/>
      </w:r>
      <w:r>
        <w:fldChar w:fldCharType="begin"/>
      </w:r>
      <w:r>
        <w:instrText xml:space="preserve"> PAGEREF _LarkToc00017 \h </w:instrText>
      </w:r>
      <w:r>
        <w:fldChar w:fldCharType="separate"/>
      </w:r>
      <w:r>
        <w:t>13</w:t>
      </w:r>
      <w:r>
        <w:fldChar w:fldCharType="end"/>
      </w:r>
      <w:r>
        <w:fldChar w:fldCharType="end"/>
      </w:r>
    </w:p>
    <w:p w14:paraId="41F70435">
      <w:pPr>
        <w:pStyle w:val="29"/>
        <w:tabs>
          <w:tab w:val="right" w:leader="dot" w:pos="9072"/>
        </w:tabs>
      </w:pPr>
      <w:r>
        <w:fldChar w:fldCharType="begin"/>
      </w:r>
      <w:r>
        <w:instrText xml:space="preserve"> HYPERLINK \l "_LarkToc00018" </w:instrText>
      </w:r>
      <w:r>
        <w:fldChar w:fldCharType="separate"/>
      </w:r>
      <w:r>
        <w:t>（三）非手术治疗</w:t>
      </w:r>
      <w:r>
        <w:tab/>
      </w:r>
      <w:r>
        <w:fldChar w:fldCharType="begin"/>
      </w:r>
      <w:r>
        <w:instrText xml:space="preserve"> PAGEREF _LarkToc00018 \h </w:instrText>
      </w:r>
      <w:r>
        <w:fldChar w:fldCharType="separate"/>
      </w:r>
      <w:r>
        <w:t>14</w:t>
      </w:r>
      <w:r>
        <w:fldChar w:fldCharType="end"/>
      </w:r>
      <w:r>
        <w:fldChar w:fldCharType="end"/>
      </w:r>
    </w:p>
    <w:p w14:paraId="7D2E425F">
      <w:pPr>
        <w:pStyle w:val="26"/>
        <w:tabs>
          <w:tab w:val="right" w:leader="dot" w:pos="9072"/>
        </w:tabs>
      </w:pPr>
      <w:r>
        <w:fldChar w:fldCharType="begin"/>
      </w:r>
      <w:r>
        <w:instrText xml:space="preserve"> HYPERLINK \l "_LarkToc00019" </w:instrText>
      </w:r>
      <w:r>
        <w:fldChar w:fldCharType="separate"/>
      </w:r>
      <w:r>
        <w:t>五、出院标准与出院流程</w:t>
      </w:r>
      <w:r>
        <w:tab/>
      </w:r>
      <w:r>
        <w:fldChar w:fldCharType="begin"/>
      </w:r>
      <w:r>
        <w:instrText xml:space="preserve"> PAGEREF _LarkToc00019 \h </w:instrText>
      </w:r>
      <w:r>
        <w:fldChar w:fldCharType="separate"/>
      </w:r>
      <w:r>
        <w:t>14</w:t>
      </w:r>
      <w:r>
        <w:fldChar w:fldCharType="end"/>
      </w:r>
      <w:r>
        <w:fldChar w:fldCharType="end"/>
      </w:r>
    </w:p>
    <w:p w14:paraId="680BE2F6">
      <w:pPr>
        <w:pStyle w:val="26"/>
        <w:tabs>
          <w:tab w:val="right" w:leader="dot" w:pos="9072"/>
        </w:tabs>
      </w:pPr>
      <w:r>
        <w:fldChar w:fldCharType="begin"/>
      </w:r>
      <w:r>
        <w:instrText xml:space="preserve"> HYPERLINK \l "_LarkToc00020" </w:instrText>
      </w:r>
      <w:r>
        <w:fldChar w:fldCharType="separate"/>
      </w:r>
      <w:r>
        <w:t>六、出院后随访（2026版指南修订）</w:t>
      </w:r>
      <w:r>
        <w:tab/>
      </w:r>
      <w:r>
        <w:fldChar w:fldCharType="begin"/>
      </w:r>
      <w:r>
        <w:instrText xml:space="preserve"> PAGEREF _LarkToc00020 \h </w:instrText>
      </w:r>
      <w:r>
        <w:fldChar w:fldCharType="separate"/>
      </w:r>
      <w:r>
        <w:t>15</w:t>
      </w:r>
      <w:r>
        <w:fldChar w:fldCharType="end"/>
      </w:r>
      <w:r>
        <w:fldChar w:fldCharType="end"/>
      </w:r>
    </w:p>
    <w:p w14:paraId="7FDE0E3A">
      <w:pPr>
        <w:pStyle w:val="29"/>
        <w:tabs>
          <w:tab w:val="right" w:leader="dot" w:pos="9072"/>
        </w:tabs>
      </w:pPr>
      <w:r>
        <w:fldChar w:fldCharType="begin"/>
      </w:r>
      <w:r>
        <w:instrText xml:space="preserve"> HYPERLINK \l "_LarkToc00021" </w:instrText>
      </w:r>
      <w:r>
        <w:fldChar w:fldCharType="separate"/>
      </w:r>
      <w:r>
        <w:t>1. 早期胃癌随访</w:t>
      </w:r>
      <w:r>
        <w:tab/>
      </w:r>
      <w:r>
        <w:fldChar w:fldCharType="begin"/>
      </w:r>
      <w:r>
        <w:instrText xml:space="preserve"> PAGEREF _LarkToc00021 \h </w:instrText>
      </w:r>
      <w:r>
        <w:fldChar w:fldCharType="separate"/>
      </w:r>
      <w:r>
        <w:t>15</w:t>
      </w:r>
      <w:r>
        <w:fldChar w:fldCharType="end"/>
      </w:r>
      <w:r>
        <w:fldChar w:fldCharType="end"/>
      </w:r>
    </w:p>
    <w:p w14:paraId="1387B5C2">
      <w:pPr>
        <w:pStyle w:val="29"/>
        <w:tabs>
          <w:tab w:val="right" w:leader="dot" w:pos="9072"/>
        </w:tabs>
      </w:pPr>
      <w:r>
        <w:fldChar w:fldCharType="begin"/>
      </w:r>
      <w:r>
        <w:instrText xml:space="preserve"> HYPERLINK \l "_LarkToc00022" </w:instrText>
      </w:r>
      <w:r>
        <w:fldChar w:fldCharType="separate"/>
      </w:r>
      <w:r>
        <w:t>2. 进展期及晚期胃癌随访</w:t>
      </w:r>
      <w:r>
        <w:tab/>
      </w:r>
      <w:r>
        <w:fldChar w:fldCharType="begin"/>
      </w:r>
      <w:r>
        <w:instrText xml:space="preserve"> PAGEREF _LarkToc00022 \h </w:instrText>
      </w:r>
      <w:r>
        <w:fldChar w:fldCharType="separate"/>
      </w:r>
      <w:r>
        <w:t>15</w:t>
      </w:r>
      <w:r>
        <w:fldChar w:fldCharType="end"/>
      </w:r>
      <w:r>
        <w:fldChar w:fldCharType="end"/>
      </w:r>
    </w:p>
    <w:p w14:paraId="3A478B12">
      <w:pPr>
        <w:pStyle w:val="29"/>
        <w:tabs>
          <w:tab w:val="right" w:leader="dot" w:pos="9072"/>
        </w:tabs>
      </w:pPr>
      <w:r>
        <w:fldChar w:fldCharType="begin"/>
      </w:r>
      <w:r>
        <w:instrText xml:space="preserve"> HYPERLINK \l "_LarkToc00023" </w:instrText>
      </w:r>
      <w:r>
        <w:fldChar w:fldCharType="separate"/>
      </w:r>
      <w:r>
        <w:t>3. 遗传相关胃癌筛查</w:t>
      </w:r>
      <w:r>
        <w:tab/>
      </w:r>
      <w:r>
        <w:fldChar w:fldCharType="begin"/>
      </w:r>
      <w:r>
        <w:instrText xml:space="preserve"> PAGEREF _LarkToc00023 \h </w:instrText>
      </w:r>
      <w:r>
        <w:fldChar w:fldCharType="separate"/>
      </w:r>
      <w:r>
        <w:t>16</w:t>
      </w:r>
      <w:r>
        <w:fldChar w:fldCharType="end"/>
      </w:r>
      <w:r>
        <w:fldChar w:fldCharType="end"/>
      </w:r>
      <w:r>
        <w:fldChar w:fldCharType="end"/>
      </w:r>
    </w:p>
    <w:p w14:paraId="5C64EA05">
      <w:r>
        <w:br w:type="page"/>
      </w:r>
    </w:p>
    <w:p w14:paraId="40A7D4A7">
      <w:pPr>
        <w:pStyle w:val="3"/>
        <w:keepNext/>
        <w:spacing w:before="280" w:after="120" w:line="360" w:lineRule="auto"/>
      </w:pPr>
      <w:bookmarkStart w:id="0" w:name="_LarkToc00001"/>
      <w:r>
        <w:rPr>
          <w:rFonts w:ascii="Times New Roman" w:hAnsi="Times New Roman" w:eastAsia="黑体"/>
          <w:b/>
          <w:color w:val="000000"/>
          <w:sz w:val="32"/>
        </w:rPr>
        <w:t>一、门诊阶段：胃镜怀疑</w:t>
      </w:r>
      <w:r>
        <w:rPr>
          <w:rFonts w:hint="eastAsia" w:ascii="Times New Roman" w:hAnsi="Times New Roman" w:eastAsia="黑体"/>
          <w:b/>
          <w:color w:val="000000"/>
          <w:sz w:val="32"/>
          <w:lang w:val="en-US" w:eastAsia="zh-CN"/>
        </w:rPr>
        <w:t>/确诊</w:t>
      </w:r>
      <w:r>
        <w:rPr>
          <w:rFonts w:ascii="Times New Roman" w:hAnsi="Times New Roman" w:eastAsia="黑体"/>
          <w:b/>
          <w:color w:val="000000"/>
          <w:sz w:val="32"/>
        </w:rPr>
        <w:t>胃癌，开</w:t>
      </w:r>
      <w:r>
        <w:rPr>
          <w:rFonts w:hint="eastAsia" w:ascii="Times New Roman" w:hAnsi="Times New Roman" w:eastAsia="黑体"/>
          <w:b/>
          <w:color w:val="000000"/>
          <w:sz w:val="32"/>
          <w:lang w:val="en-US" w:eastAsia="zh-CN"/>
        </w:rPr>
        <w:t>具</w:t>
      </w:r>
      <w:r>
        <w:rPr>
          <w:rFonts w:ascii="Times New Roman" w:hAnsi="Times New Roman" w:eastAsia="黑体"/>
          <w:b/>
          <w:color w:val="000000"/>
          <w:sz w:val="32"/>
        </w:rPr>
        <w:t>住院证</w:t>
      </w:r>
      <w:bookmarkEnd w:id="0"/>
    </w:p>
    <w:p w14:paraId="686D0EA6">
      <w:pPr>
        <w:pStyle w:val="4"/>
        <w:keepNext/>
        <w:spacing w:before="220" w:after="100" w:line="360" w:lineRule="auto"/>
      </w:pPr>
      <w:bookmarkStart w:id="1" w:name="_LarkToc00002"/>
      <w:r>
        <w:rPr>
          <w:rFonts w:ascii="Times New Roman" w:hAnsi="Times New Roman" w:eastAsia="黑体"/>
          <w:b/>
          <w:color w:val="000000"/>
          <w:sz w:val="28"/>
        </w:rPr>
        <w:t>（一）门诊胃镜</w:t>
      </w:r>
      <w:bookmarkEnd w:id="1"/>
    </w:p>
    <w:p w14:paraId="787B0815">
      <w:pPr>
        <w:pStyle w:val="16"/>
        <w:spacing w:before="0" w:after="0" w:line="360" w:lineRule="auto"/>
      </w:pPr>
      <w:r>
        <w:rPr>
          <w:rFonts w:ascii="Times New Roman" w:hAnsi="Times New Roman" w:eastAsia="宋体"/>
          <w:b w:val="0"/>
          <w:color w:val="000000"/>
          <w:sz w:val="24"/>
        </w:rPr>
        <w:t>胃镜发现胃占位、溃疡、菜花样病变等，考虑胃癌可能，常规取活检送病理。</w:t>
      </w:r>
    </w:p>
    <w:p w14:paraId="3A73AADB">
      <w:pPr>
        <w:pStyle w:val="4"/>
        <w:keepNext/>
        <w:spacing w:before="220" w:after="100" w:line="360" w:lineRule="auto"/>
      </w:pPr>
      <w:bookmarkStart w:id="2" w:name="_LarkToc00003"/>
      <w:r>
        <w:rPr>
          <w:rFonts w:ascii="Times New Roman" w:hAnsi="Times New Roman" w:eastAsia="黑体"/>
          <w:b/>
          <w:color w:val="000000"/>
          <w:sz w:val="28"/>
        </w:rPr>
        <w:t>（二）门诊医生判断有住院指征</w:t>
      </w:r>
      <w:bookmarkEnd w:id="2"/>
    </w:p>
    <w:p w14:paraId="6C196046">
      <w:pPr>
        <w:pStyle w:val="16"/>
        <w:spacing w:before="0" w:after="0" w:line="360" w:lineRule="auto"/>
      </w:pPr>
      <w:r>
        <w:rPr>
          <w:rFonts w:ascii="Times New Roman" w:hAnsi="Times New Roman" w:eastAsia="宋体"/>
          <w:b w:val="0"/>
          <w:color w:val="000000"/>
          <w:sz w:val="24"/>
        </w:rPr>
        <w:t>患者需要进一步明确诊断、分期和制定治疗方案，门诊医生直接开具住院证。</w:t>
      </w:r>
    </w:p>
    <w:p w14:paraId="68FF8965">
      <w:pPr>
        <w:pStyle w:val="16"/>
        <w:spacing w:before="0" w:after="0" w:line="360" w:lineRule="auto"/>
      </w:pPr>
      <w:r>
        <w:rPr>
          <w:rFonts w:ascii="Times New Roman" w:hAnsi="Times New Roman" w:eastAsia="宋体"/>
          <w:b w:val="0"/>
          <w:color w:val="000000"/>
          <w:sz w:val="24"/>
        </w:rPr>
        <w:t>入院诊断</w:t>
      </w:r>
      <w:bookmarkStart w:id="23" w:name="_GoBack"/>
      <w:bookmarkEnd w:id="23"/>
      <w:r>
        <w:rPr>
          <w:rFonts w:ascii="Times New Roman" w:hAnsi="Times New Roman" w:eastAsia="宋体"/>
          <w:b w:val="0"/>
          <w:color w:val="000000"/>
          <w:sz w:val="24"/>
        </w:rPr>
        <w:t>：</w:t>
      </w:r>
      <w:r>
        <w:rPr>
          <w:rFonts w:ascii="Times New Roman" w:hAnsi="Times New Roman" w:eastAsia="宋体"/>
          <w:b/>
          <w:color w:val="000000"/>
          <w:sz w:val="24"/>
        </w:rPr>
        <w:t>胃占位性病变：胃癌待排</w:t>
      </w:r>
      <w:r>
        <w:rPr>
          <w:rFonts w:ascii="Times New Roman" w:hAnsi="Times New Roman" w:eastAsia="宋体"/>
          <w:b w:val="0"/>
          <w:color w:val="000000"/>
          <w:sz w:val="24"/>
        </w:rPr>
        <w:t>。</w:t>
      </w:r>
    </w:p>
    <w:p w14:paraId="667D03E6">
      <w:pPr>
        <w:pStyle w:val="4"/>
        <w:keepNext/>
        <w:spacing w:before="220" w:after="100" w:line="360" w:lineRule="auto"/>
      </w:pPr>
      <w:bookmarkStart w:id="3" w:name="_LarkToc00004"/>
      <w:r>
        <w:rPr>
          <w:rFonts w:ascii="Times New Roman" w:hAnsi="Times New Roman" w:eastAsia="黑体"/>
          <w:b/>
          <w:color w:val="000000"/>
          <w:sz w:val="28"/>
        </w:rPr>
        <w:t>（三）与患者沟通</w:t>
      </w:r>
      <w:bookmarkEnd w:id="3"/>
    </w:p>
    <w:p w14:paraId="325DEA8E">
      <w:pPr>
        <w:pStyle w:val="16"/>
        <w:spacing w:before="0" w:after="0" w:line="360" w:lineRule="auto"/>
      </w:pPr>
      <w:r>
        <w:rPr>
          <w:rFonts w:ascii="Times New Roman" w:hAnsi="Times New Roman" w:eastAsia="宋体"/>
          <w:b w:val="0"/>
          <w:color w:val="000000"/>
          <w:sz w:val="24"/>
        </w:rPr>
        <w:t>告知患者：住院后继续追踪病理结果，完善增强CT、超声内镜等分期检查，确诊后决定手术或内科治疗。</w:t>
      </w:r>
    </w:p>
    <w:p w14:paraId="09BAD1C8">
      <w:pPr>
        <w:pStyle w:val="16"/>
        <w:spacing w:before="0" w:after="0" w:line="360" w:lineRule="auto"/>
      </w:pPr>
      <w:r>
        <w:rPr>
          <w:rFonts w:ascii="Times New Roman" w:hAnsi="Times New Roman" w:eastAsia="宋体"/>
          <w:b w:val="0"/>
          <w:color w:val="000000"/>
          <w:sz w:val="24"/>
        </w:rPr>
        <w:t>门诊已做的检查尽量带入病房，避免重复。</w:t>
      </w:r>
    </w:p>
    <w:p w14:paraId="2E458E65">
      <w:pPr>
        <w:pStyle w:val="4"/>
        <w:keepNext/>
        <w:spacing w:before="220" w:after="100" w:line="360" w:lineRule="auto"/>
      </w:pPr>
      <w:bookmarkStart w:id="4" w:name="_LarkToc00005"/>
      <w:r>
        <w:rPr>
          <w:rFonts w:ascii="Times New Roman" w:hAnsi="Times New Roman" w:eastAsia="黑体"/>
          <w:b/>
          <w:color w:val="000000"/>
          <w:sz w:val="28"/>
        </w:rPr>
        <w:t>（四）办理入院</w:t>
      </w:r>
      <w:bookmarkEnd w:id="4"/>
    </w:p>
    <w:p w14:paraId="2A5ED6C6">
      <w:pPr>
        <w:pStyle w:val="16"/>
        <w:spacing w:before="0" w:after="0" w:line="360" w:lineRule="auto"/>
      </w:pPr>
      <w:r>
        <w:rPr>
          <w:rFonts w:ascii="Times New Roman" w:hAnsi="Times New Roman" w:eastAsia="宋体"/>
          <w:b w:val="0"/>
          <w:color w:val="000000"/>
          <w:sz w:val="24"/>
        </w:rPr>
        <w:t>持住院证到入院</w:t>
      </w:r>
      <w:r>
        <w:rPr>
          <w:rFonts w:hint="eastAsia" w:ascii="Times New Roman" w:hAnsi="Times New Roman" w:eastAsia="宋体"/>
          <w:b w:val="0"/>
          <w:color w:val="000000"/>
          <w:sz w:val="24"/>
          <w:lang w:val="en-US" w:eastAsia="zh-CN"/>
        </w:rPr>
        <w:t>处（住院部一楼）</w:t>
      </w:r>
      <w:r>
        <w:rPr>
          <w:rFonts w:ascii="Times New Roman" w:hAnsi="Times New Roman" w:eastAsia="宋体"/>
          <w:b w:val="0"/>
          <w:color w:val="000000"/>
          <w:sz w:val="24"/>
        </w:rPr>
        <w:t>或病区办理手续，完成医保登记。</w:t>
      </w:r>
    </w:p>
    <w:p w14:paraId="5791E03E">
      <w:pPr>
        <w:pStyle w:val="16"/>
        <w:spacing w:before="0" w:after="0" w:line="360" w:lineRule="auto"/>
      </w:pPr>
      <w:r>
        <w:rPr>
          <w:rFonts w:ascii="Times New Roman" w:hAnsi="Times New Roman" w:eastAsia="宋体"/>
          <w:b w:val="0"/>
          <w:color w:val="000000"/>
          <w:sz w:val="24"/>
        </w:rPr>
        <w:t>收治科室通常为</w:t>
      </w:r>
      <w:r>
        <w:rPr>
          <w:rFonts w:ascii="Times New Roman" w:hAnsi="Times New Roman" w:eastAsia="宋体"/>
          <w:b/>
          <w:color w:val="000000"/>
          <w:sz w:val="24"/>
        </w:rPr>
        <w:t>胃肠外科</w:t>
      </w:r>
      <w:r>
        <w:rPr>
          <w:rFonts w:ascii="Times New Roman" w:hAnsi="Times New Roman" w:eastAsia="宋体"/>
          <w:b w:val="0"/>
          <w:color w:val="000000"/>
          <w:sz w:val="24"/>
        </w:rPr>
        <w:t>，也可先收</w:t>
      </w:r>
      <w:r>
        <w:rPr>
          <w:rFonts w:ascii="Times New Roman" w:hAnsi="Times New Roman" w:eastAsia="宋体"/>
          <w:b/>
          <w:color w:val="000000"/>
          <w:sz w:val="24"/>
        </w:rPr>
        <w:t>消化内科</w:t>
      </w:r>
      <w:r>
        <w:rPr>
          <w:rFonts w:ascii="Times New Roman" w:hAnsi="Times New Roman" w:eastAsia="宋体"/>
          <w:b w:val="0"/>
          <w:color w:val="000000"/>
          <w:sz w:val="24"/>
        </w:rPr>
        <w:t>。</w:t>
      </w:r>
    </w:p>
    <w:p w14:paraId="73B09E10">
      <w:pPr>
        <w:pStyle w:val="3"/>
        <w:keepNext/>
        <w:spacing w:before="280" w:after="120" w:line="360" w:lineRule="auto"/>
      </w:pPr>
      <w:bookmarkStart w:id="5" w:name="_LarkToc00006"/>
      <w:r>
        <w:rPr>
          <w:rFonts w:ascii="Times New Roman" w:hAnsi="Times New Roman" w:eastAsia="黑体"/>
          <w:b/>
          <w:color w:val="000000"/>
          <w:sz w:val="32"/>
        </w:rPr>
        <w:t>二、住院后第1—3天：完善检查，等待病理</w:t>
      </w:r>
      <w:bookmarkEnd w:id="5"/>
    </w:p>
    <w:p w14:paraId="48BCE376">
      <w:pPr>
        <w:pStyle w:val="4"/>
        <w:keepNext/>
        <w:spacing w:before="220" w:after="100" w:line="360" w:lineRule="auto"/>
      </w:pPr>
      <w:bookmarkStart w:id="6" w:name="_LarkToc00007"/>
      <w:r>
        <w:rPr>
          <w:rFonts w:ascii="Times New Roman" w:hAnsi="Times New Roman" w:eastAsia="黑体"/>
          <w:b/>
          <w:color w:val="000000"/>
          <w:sz w:val="28"/>
        </w:rPr>
        <w:t>（一）入院记录与查体</w:t>
      </w:r>
      <w:bookmarkEnd w:id="6"/>
    </w:p>
    <w:p w14:paraId="4CD44A62">
      <w:pPr>
        <w:pStyle w:val="16"/>
        <w:spacing w:before="0" w:after="0" w:line="360" w:lineRule="auto"/>
      </w:pPr>
      <w:r>
        <w:rPr>
          <w:rFonts w:ascii="Times New Roman" w:hAnsi="Times New Roman" w:eastAsia="宋体"/>
          <w:b w:val="0"/>
          <w:color w:val="000000"/>
          <w:sz w:val="24"/>
        </w:rPr>
        <w:t>详细询问病史、查体，评估营养状态、贫血、合并症。</w:t>
      </w:r>
    </w:p>
    <w:p w14:paraId="276ED15E">
      <w:pPr>
        <w:pStyle w:val="4"/>
        <w:keepNext/>
        <w:spacing w:before="220" w:after="100" w:line="360" w:lineRule="auto"/>
      </w:pPr>
      <w:bookmarkStart w:id="7" w:name="_LarkToc00008"/>
      <w:r>
        <w:rPr>
          <w:rFonts w:ascii="Times New Roman" w:hAnsi="Times New Roman" w:eastAsia="黑体"/>
          <w:b/>
          <w:color w:val="000000"/>
          <w:sz w:val="28"/>
        </w:rPr>
        <w:t>（二）追踪门诊病理</w:t>
      </w:r>
      <w:bookmarkEnd w:id="7"/>
    </w:p>
    <w:p w14:paraId="2C8D3A87">
      <w:pPr>
        <w:pStyle w:val="16"/>
        <w:spacing w:before="0" w:after="0" w:line="360" w:lineRule="auto"/>
      </w:pPr>
      <w:r>
        <w:rPr>
          <w:rFonts w:ascii="Times New Roman" w:hAnsi="Times New Roman" w:eastAsia="宋体"/>
          <w:b w:val="0"/>
          <w:color w:val="000000"/>
          <w:sz w:val="24"/>
        </w:rPr>
        <w:t>如果门诊胃镜已取活检，住院后重点追踪病理报告。</w:t>
      </w:r>
    </w:p>
    <w:p w14:paraId="54F30139">
      <w:pPr>
        <w:pStyle w:val="16"/>
        <w:spacing w:before="0" w:after="0" w:line="360" w:lineRule="auto"/>
      </w:pPr>
      <w:r>
        <w:rPr>
          <w:rFonts w:ascii="Times New Roman" w:hAnsi="Times New Roman" w:eastAsia="宋体"/>
          <w:b w:val="0"/>
          <w:color w:val="000000"/>
          <w:sz w:val="24"/>
        </w:rPr>
        <w:t>如果门诊未取活检或需复查，住院后尽快安排胃镜+活检。</w:t>
      </w:r>
    </w:p>
    <w:p w14:paraId="7590AA6D">
      <w:pPr>
        <w:pStyle w:val="4"/>
        <w:keepNext/>
        <w:spacing w:before="220" w:after="100" w:line="360" w:lineRule="auto"/>
      </w:pPr>
      <w:bookmarkStart w:id="8" w:name="_LarkToc00009"/>
      <w:r>
        <w:rPr>
          <w:rFonts w:ascii="Times New Roman" w:hAnsi="Times New Roman" w:eastAsia="黑体"/>
          <w:b/>
          <w:color w:val="000000"/>
          <w:sz w:val="28"/>
        </w:rPr>
        <w:t>（三）完善分期和术前检查</w:t>
      </w:r>
      <w:bookmarkEnd w:id="8"/>
    </w:p>
    <w:p w14:paraId="42D1C0C9">
      <w:pPr>
        <w:pStyle w:val="5"/>
        <w:keepNext/>
        <w:spacing w:before="180" w:after="80" w:line="360" w:lineRule="auto"/>
      </w:pPr>
      <w:r>
        <w:rPr>
          <w:rFonts w:ascii="Times New Roman" w:hAnsi="Times New Roman" w:eastAsia="黑体"/>
          <w:b/>
          <w:color w:val="000000"/>
          <w:sz w:val="24"/>
        </w:rPr>
        <w:t>1. 实验室检查</w:t>
      </w:r>
    </w:p>
    <w:p w14:paraId="3ABD7F9B">
      <w:pPr>
        <w:pStyle w:val="16"/>
        <w:spacing w:before="0" w:after="0" w:line="360" w:lineRule="auto"/>
      </w:pPr>
      <w:r>
        <w:rPr>
          <w:rFonts w:ascii="Times New Roman" w:hAnsi="Times New Roman" w:eastAsia="宋体"/>
          <w:b w:val="0"/>
          <w:color w:val="000000"/>
          <w:sz w:val="24"/>
        </w:rPr>
        <w:t>血常规、肝肾功能、电解质、凝血、血型、感染筛查、肿瘤标志物CEA、CA19-9。</w:t>
      </w:r>
    </w:p>
    <w:p w14:paraId="46FEA440">
      <w:pPr>
        <w:pStyle w:val="5"/>
        <w:keepNext/>
        <w:spacing w:before="180" w:after="80" w:line="360" w:lineRule="auto"/>
      </w:pPr>
      <w:r>
        <w:rPr>
          <w:rFonts w:ascii="Times New Roman" w:hAnsi="Times New Roman" w:eastAsia="黑体"/>
          <w:b/>
          <w:color w:val="000000"/>
          <w:sz w:val="24"/>
        </w:rPr>
        <w:t>2. 影像学检查</w:t>
      </w:r>
    </w:p>
    <w:p w14:paraId="60029B5B">
      <w:pPr>
        <w:pStyle w:val="16"/>
        <w:spacing w:before="0" w:after="0" w:line="360" w:lineRule="auto"/>
      </w:pPr>
      <w:r>
        <w:rPr>
          <w:rFonts w:ascii="Times New Roman" w:hAnsi="Times New Roman" w:eastAsia="宋体"/>
          <w:b/>
          <w:color w:val="000000"/>
          <w:sz w:val="24"/>
        </w:rPr>
        <w:t>胸部及腹盆部增强CT</w:t>
      </w:r>
      <w:r>
        <w:rPr>
          <w:rFonts w:ascii="Times New Roman" w:hAnsi="Times New Roman" w:eastAsia="宋体"/>
          <w:b w:val="0"/>
          <w:color w:val="000000"/>
          <w:sz w:val="24"/>
        </w:rPr>
        <w:t>：治疗前分期的基本手段，用于定性、定位和分期诊断。</w:t>
      </w:r>
    </w:p>
    <w:p w14:paraId="7F3337F5">
      <w:pPr>
        <w:pStyle w:val="16"/>
        <w:spacing w:before="0" w:after="0" w:line="360" w:lineRule="auto"/>
      </w:pPr>
      <w:r>
        <w:rPr>
          <w:rFonts w:ascii="Times New Roman" w:hAnsi="Times New Roman" w:eastAsia="宋体"/>
          <w:b/>
          <w:color w:val="000000"/>
          <w:sz w:val="24"/>
        </w:rPr>
        <w:t>腹部+盆腔增强CT、胸部CT</w:t>
      </w:r>
      <w:r>
        <w:rPr>
          <w:rFonts w:ascii="Times New Roman" w:hAnsi="Times New Roman" w:eastAsia="宋体"/>
          <w:b w:val="0"/>
          <w:color w:val="000000"/>
          <w:sz w:val="24"/>
        </w:rPr>
        <w:t>：常规分期评估。</w:t>
      </w:r>
    </w:p>
    <w:p w14:paraId="5E109B25">
      <w:pPr>
        <w:pStyle w:val="16"/>
        <w:spacing w:before="0" w:after="0" w:line="360" w:lineRule="auto"/>
      </w:pPr>
      <w:r>
        <w:rPr>
          <w:rFonts w:ascii="Times New Roman" w:hAnsi="Times New Roman" w:eastAsia="宋体"/>
          <w:b/>
          <w:color w:val="000000"/>
          <w:sz w:val="24"/>
        </w:rPr>
        <w:t>超声内镜（EUS）</w:t>
      </w:r>
      <w:r>
        <w:rPr>
          <w:rFonts w:ascii="Times New Roman" w:hAnsi="Times New Roman" w:eastAsia="宋体"/>
          <w:b w:val="0"/>
          <w:color w:val="000000"/>
          <w:sz w:val="24"/>
        </w:rPr>
        <w:t>：推荐有条件的中心开展。EUS为首选CT分期工具，可判断T分期、胃周肿大淋巴结及部分肝脏和腹腔转移，有助于诊断、临床分期及新辅助治疗效果评估。</w:t>
      </w:r>
    </w:p>
    <w:p w14:paraId="565CCF4B">
      <w:pPr>
        <w:pStyle w:val="16"/>
        <w:spacing w:before="0" w:after="0" w:line="360" w:lineRule="auto"/>
      </w:pPr>
      <w:r>
        <w:rPr>
          <w:rFonts w:ascii="Times New Roman" w:hAnsi="Times New Roman" w:eastAsia="宋体"/>
          <w:b/>
          <w:color w:val="000000"/>
          <w:sz w:val="24"/>
        </w:rPr>
        <w:t>肝脏MRI平扫+增强扫描</w:t>
      </w:r>
      <w:r>
        <w:rPr>
          <w:rFonts w:ascii="Times New Roman" w:hAnsi="Times New Roman" w:eastAsia="宋体"/>
          <w:b w:val="0"/>
          <w:color w:val="000000"/>
          <w:sz w:val="24"/>
        </w:rPr>
        <w:t>：临床或CT怀疑肝转移时，建议首选；根据临床需要可采用肝细胞特异性造影剂。</w:t>
      </w:r>
    </w:p>
    <w:p w14:paraId="42EC2A56">
      <w:pPr>
        <w:pStyle w:val="16"/>
        <w:spacing w:before="0" w:after="0" w:line="360" w:lineRule="auto"/>
      </w:pPr>
      <w:r>
        <w:rPr>
          <w:rFonts w:ascii="Times New Roman" w:hAnsi="Times New Roman" w:eastAsia="宋体"/>
          <w:b/>
          <w:color w:val="000000"/>
          <w:sz w:val="24"/>
        </w:rPr>
        <w:t>诊断性腹腔镜探查和腹腔灌洗液评价</w:t>
      </w:r>
      <w:r>
        <w:rPr>
          <w:rFonts w:ascii="Times New Roman" w:hAnsi="Times New Roman" w:eastAsia="宋体"/>
          <w:b w:val="0"/>
          <w:color w:val="000000"/>
          <w:sz w:val="24"/>
        </w:rPr>
        <w:t>：推荐作为CT怀疑腹膜转移时进一步检查的手段。腹腔灌洗使用约200ml生理盐水灌注至腹腔不同象限，回收大于50ml灌洗液进行细胞学检查。</w:t>
      </w:r>
    </w:p>
    <w:p w14:paraId="7D195BD8">
      <w:pPr>
        <w:pStyle w:val="16"/>
        <w:spacing w:before="0" w:after="0" w:line="360" w:lineRule="auto"/>
      </w:pPr>
      <w:r>
        <w:rPr>
          <w:rFonts w:ascii="Times New Roman" w:hAnsi="Times New Roman" w:eastAsia="宋体"/>
          <w:b/>
          <w:color w:val="000000"/>
          <w:sz w:val="24"/>
        </w:rPr>
        <w:t>PET/CT</w:t>
      </w:r>
      <w:r>
        <w:rPr>
          <w:rFonts w:ascii="Times New Roman" w:hAnsi="Times New Roman" w:eastAsia="宋体"/>
          <w:b w:val="0"/>
          <w:color w:val="000000"/>
          <w:sz w:val="24"/>
        </w:rPr>
        <w:t>：不作为常规检查。CT疑诊肝转移、腹膜转移及全身转移时的补充手段。FAPI-PET成像可较FDG-PET提高胃癌原发灶及转移病灶的检出和诊断能力。</w:t>
      </w:r>
    </w:p>
    <w:p w14:paraId="0FA2E219">
      <w:pPr>
        <w:pStyle w:val="16"/>
        <w:spacing w:before="0" w:after="0" w:line="360" w:lineRule="auto"/>
      </w:pPr>
      <w:r>
        <w:rPr>
          <w:rFonts w:ascii="Times New Roman" w:hAnsi="Times New Roman" w:eastAsia="宋体"/>
          <w:b/>
          <w:color w:val="000000"/>
          <w:sz w:val="24"/>
        </w:rPr>
        <w:t>腹部/盆腔MRI</w:t>
      </w:r>
      <w:r>
        <w:rPr>
          <w:rFonts w:ascii="Times New Roman" w:hAnsi="Times New Roman" w:eastAsia="宋体"/>
          <w:b w:val="0"/>
          <w:color w:val="000000"/>
          <w:sz w:val="24"/>
        </w:rPr>
        <w:t>：作为CT疑诊肝转移、腹膜转移时的补充手段。</w:t>
      </w:r>
    </w:p>
    <w:p w14:paraId="54CC5CF0">
      <w:pPr>
        <w:pStyle w:val="5"/>
        <w:keepNext/>
        <w:spacing w:before="180" w:after="80" w:line="360" w:lineRule="auto"/>
      </w:pPr>
      <w:r>
        <w:rPr>
          <w:rFonts w:ascii="Times New Roman" w:hAnsi="Times New Roman" w:eastAsia="黑体"/>
          <w:b/>
          <w:color w:val="000000"/>
          <w:sz w:val="24"/>
        </w:rPr>
        <w:t>3. 心肺功能</w:t>
      </w:r>
    </w:p>
    <w:p w14:paraId="553DBD51">
      <w:pPr>
        <w:pStyle w:val="16"/>
        <w:spacing w:before="0" w:after="0" w:line="360" w:lineRule="auto"/>
      </w:pPr>
      <w:r>
        <w:rPr>
          <w:rFonts w:ascii="Times New Roman" w:hAnsi="Times New Roman" w:eastAsia="宋体"/>
          <w:b w:val="0"/>
          <w:color w:val="000000"/>
          <w:sz w:val="24"/>
        </w:rPr>
        <w:t>心电图、心脏超声、肺功能。</w:t>
      </w:r>
    </w:p>
    <w:p w14:paraId="24B614E5">
      <w:pPr>
        <w:pStyle w:val="5"/>
        <w:keepNext/>
        <w:spacing w:before="180" w:after="80" w:line="360" w:lineRule="auto"/>
      </w:pPr>
      <w:r>
        <w:rPr>
          <w:rFonts w:ascii="Times New Roman" w:hAnsi="Times New Roman" w:eastAsia="黑体"/>
          <w:b/>
          <w:color w:val="000000"/>
          <w:sz w:val="24"/>
        </w:rPr>
        <w:t>4. 营养评估</w:t>
      </w:r>
    </w:p>
    <w:p w14:paraId="78238730">
      <w:pPr>
        <w:pStyle w:val="16"/>
        <w:spacing w:before="0" w:after="0" w:line="360" w:lineRule="auto"/>
      </w:pPr>
      <w:r>
        <w:rPr>
          <w:rFonts w:ascii="Times New Roman" w:hAnsi="Times New Roman" w:eastAsia="宋体"/>
          <w:b w:val="0"/>
          <w:color w:val="000000"/>
          <w:sz w:val="24"/>
        </w:rPr>
        <w:t>白蛋白、前白蛋白、体重变化。</w:t>
      </w:r>
    </w:p>
    <w:p w14:paraId="3BCEEDD1">
      <w:pPr>
        <w:pStyle w:val="16"/>
        <w:spacing w:before="0" w:after="0" w:line="360" w:lineRule="auto"/>
      </w:pPr>
      <w:r>
        <w:rPr>
          <w:rFonts w:ascii="Times New Roman" w:hAnsi="Times New Roman" w:eastAsia="宋体"/>
          <w:b w:val="0"/>
          <w:color w:val="000000"/>
          <w:sz w:val="24"/>
        </w:rPr>
        <w:t>营养风险筛查工具：NRS-2002。</w:t>
      </w:r>
    </w:p>
    <w:p w14:paraId="6923ADDE">
      <w:pPr>
        <w:pStyle w:val="16"/>
        <w:spacing w:before="0" w:after="0" w:line="360" w:lineRule="auto"/>
      </w:pPr>
      <w:r>
        <w:rPr>
          <w:rFonts w:ascii="Times New Roman" w:hAnsi="Times New Roman" w:eastAsia="宋体"/>
          <w:b w:val="0"/>
          <w:color w:val="000000"/>
          <w:sz w:val="24"/>
        </w:rPr>
        <w:t>营养不良评估工具：PG-SGA。</w:t>
      </w:r>
    </w:p>
    <w:p w14:paraId="6887F7F7">
      <w:pPr>
        <w:pStyle w:val="16"/>
        <w:spacing w:before="0" w:after="0" w:line="360" w:lineRule="auto"/>
      </w:pPr>
      <w:r>
        <w:rPr>
          <w:rFonts w:ascii="Times New Roman" w:hAnsi="Times New Roman" w:eastAsia="宋体"/>
          <w:b w:val="0"/>
          <w:color w:val="000000"/>
          <w:sz w:val="24"/>
        </w:rPr>
        <w:t>营养不良诊断：GLIM营养不良诊断标准。</w:t>
      </w:r>
    </w:p>
    <w:p w14:paraId="41B954D8">
      <w:pPr>
        <w:pStyle w:val="5"/>
        <w:keepNext/>
        <w:spacing w:before="180" w:after="80" w:line="360" w:lineRule="auto"/>
      </w:pPr>
      <w:r>
        <w:rPr>
          <w:rFonts w:ascii="Times New Roman" w:hAnsi="Times New Roman" w:eastAsia="黑体"/>
          <w:b/>
          <w:color w:val="000000"/>
          <w:sz w:val="24"/>
        </w:rPr>
        <w:t>5. 分子病理检测（2026版指南重点）</w:t>
      </w:r>
    </w:p>
    <w:p w14:paraId="22773F52">
      <w:pPr>
        <w:spacing w:before="0" w:after="0" w:line="360" w:lineRule="auto"/>
        <w:jc w:val="both"/>
      </w:pPr>
      <w:r>
        <w:rPr>
          <w:rFonts w:ascii="Times New Roman" w:hAnsi="Times New Roman" w:eastAsia="宋体"/>
          <w:b/>
          <w:color w:val="000000"/>
          <w:sz w:val="24"/>
        </w:rPr>
        <w:t>根据CSCO 2026胃癌指南分子诊断推荐：</w:t>
      </w:r>
    </w:p>
    <w:p w14:paraId="63C68F69">
      <w:pPr>
        <w:pStyle w:val="16"/>
        <w:spacing w:before="0" w:after="0" w:line="360" w:lineRule="auto"/>
      </w:pPr>
      <w:r>
        <w:rPr>
          <w:rFonts w:ascii="Times New Roman" w:hAnsi="Times New Roman" w:eastAsia="宋体"/>
          <w:b/>
          <w:color w:val="000000"/>
          <w:sz w:val="24"/>
        </w:rPr>
        <w:t>所有经病理诊断证实为胃或食管胃结合部腺癌的病例均有必要进行HER2检测</w:t>
      </w:r>
      <w:r>
        <w:rPr>
          <w:rFonts w:ascii="Times New Roman" w:hAnsi="Times New Roman" w:eastAsia="宋体"/>
          <w:b w:val="0"/>
          <w:color w:val="000000"/>
          <w:sz w:val="24"/>
        </w:rPr>
        <w:t>（Ⅰ级推荐）。</w:t>
      </w:r>
    </w:p>
    <w:p w14:paraId="28907A8D">
      <w:pPr>
        <w:pStyle w:val="16"/>
        <w:spacing w:before="0" w:after="0" w:line="360" w:lineRule="auto"/>
      </w:pPr>
      <w:r>
        <w:rPr>
          <w:rFonts w:ascii="Times New Roman" w:hAnsi="Times New Roman" w:eastAsia="宋体"/>
          <w:b/>
          <w:color w:val="000000"/>
          <w:sz w:val="24"/>
        </w:rPr>
        <w:t>所有新诊断的胃癌病例都推荐评估MSI/MMR状态</w:t>
      </w:r>
      <w:r>
        <w:rPr>
          <w:rFonts w:ascii="Times New Roman" w:hAnsi="Times New Roman" w:eastAsia="宋体"/>
          <w:b w:val="0"/>
          <w:color w:val="000000"/>
          <w:sz w:val="24"/>
        </w:rPr>
        <w:t>（Ⅰ级推荐）。</w:t>
      </w:r>
    </w:p>
    <w:p w14:paraId="74F1E29B">
      <w:pPr>
        <w:pStyle w:val="16"/>
        <w:spacing w:before="0" w:after="0" w:line="360" w:lineRule="auto"/>
      </w:pPr>
      <w:r>
        <w:rPr>
          <w:rFonts w:ascii="Times New Roman" w:hAnsi="Times New Roman" w:eastAsia="宋体"/>
          <w:b/>
          <w:color w:val="000000"/>
          <w:sz w:val="24"/>
        </w:rPr>
        <w:t>拟针对Claudin 18.2靶点治疗的胃腺癌病例应进行Claudin 18.2检测</w:t>
      </w:r>
      <w:r>
        <w:rPr>
          <w:rFonts w:ascii="Times New Roman" w:hAnsi="Times New Roman" w:eastAsia="宋体"/>
          <w:b w:val="0"/>
          <w:color w:val="000000"/>
          <w:sz w:val="24"/>
        </w:rPr>
        <w:t>（Ⅰ级推荐）。</w:t>
      </w:r>
    </w:p>
    <w:p w14:paraId="503D1272">
      <w:pPr>
        <w:pStyle w:val="16"/>
        <w:spacing w:before="0" w:after="0" w:line="360" w:lineRule="auto"/>
      </w:pPr>
      <w:r>
        <w:rPr>
          <w:rFonts w:ascii="Times New Roman" w:hAnsi="Times New Roman" w:eastAsia="宋体"/>
          <w:b/>
          <w:color w:val="000000"/>
          <w:sz w:val="24"/>
        </w:rPr>
        <w:t>拟采用免疫检查点抑制剂治疗的胃腺癌病例应评估PD-L1表达水平</w:t>
      </w:r>
      <w:r>
        <w:rPr>
          <w:rFonts w:ascii="Times New Roman" w:hAnsi="Times New Roman" w:eastAsia="宋体"/>
          <w:b w:val="0"/>
          <w:color w:val="000000"/>
          <w:sz w:val="24"/>
        </w:rPr>
        <w:t>（Ⅰ级推荐）。</w:t>
      </w:r>
    </w:p>
    <w:p w14:paraId="0724B112">
      <w:pPr>
        <w:pStyle w:val="16"/>
        <w:spacing w:before="0" w:after="0" w:line="360" w:lineRule="auto"/>
      </w:pPr>
      <w:r>
        <w:rPr>
          <w:rFonts w:ascii="Times New Roman" w:hAnsi="Times New Roman" w:eastAsia="宋体"/>
          <w:b/>
          <w:color w:val="000000"/>
          <w:sz w:val="24"/>
        </w:rPr>
        <w:t>NTRK融合基因检测、EBV状态、FGFR2b、c-MET检测</w:t>
      </w:r>
      <w:r>
        <w:rPr>
          <w:rFonts w:ascii="Times New Roman" w:hAnsi="Times New Roman" w:eastAsia="宋体"/>
          <w:b w:val="0"/>
          <w:color w:val="000000"/>
          <w:sz w:val="24"/>
        </w:rPr>
        <w:t>（Ⅱ—Ⅲ级推荐）。</w:t>
      </w:r>
    </w:p>
    <w:p w14:paraId="459FFEFC">
      <w:pPr>
        <w:pStyle w:val="16"/>
        <w:spacing w:before="0" w:after="0" w:line="360" w:lineRule="auto"/>
      </w:pPr>
      <w:r>
        <w:rPr>
          <w:rFonts w:ascii="Times New Roman" w:hAnsi="Times New Roman" w:eastAsia="宋体"/>
          <w:b/>
          <w:color w:val="000000"/>
          <w:sz w:val="24"/>
        </w:rPr>
        <w:t>标准治疗失败的晚期胃癌患者可进行NGS检测寻找潜在治疗靶点</w:t>
      </w:r>
      <w:r>
        <w:rPr>
          <w:rFonts w:ascii="Times New Roman" w:hAnsi="Times New Roman" w:eastAsia="宋体"/>
          <w:b w:val="0"/>
          <w:color w:val="000000"/>
          <w:sz w:val="24"/>
        </w:rPr>
        <w:t>。</w:t>
      </w:r>
    </w:p>
    <w:p w14:paraId="79250704">
      <w:pPr>
        <w:spacing w:before="0" w:after="0" w:line="360" w:lineRule="auto"/>
        <w:jc w:val="both"/>
      </w:pPr>
      <w:r>
        <w:rPr>
          <w:rFonts w:ascii="Times New Roman" w:hAnsi="Times New Roman" w:eastAsia="宋体"/>
          <w:b/>
          <w:color w:val="000000"/>
          <w:sz w:val="24"/>
        </w:rPr>
        <w:t>检测方法与判读要点：</w:t>
      </w:r>
    </w:p>
    <w:p w14:paraId="46E5B8B4">
      <w:pPr>
        <w:pStyle w:val="16"/>
        <w:spacing w:before="0" w:after="0" w:line="360" w:lineRule="auto"/>
      </w:pPr>
      <w:r>
        <w:rPr>
          <w:rFonts w:ascii="Times New Roman" w:hAnsi="Times New Roman" w:eastAsia="宋体"/>
          <w:b/>
          <w:color w:val="000000"/>
          <w:sz w:val="24"/>
        </w:rPr>
        <w:t>HER2</w:t>
      </w:r>
      <w:r>
        <w:rPr>
          <w:rFonts w:ascii="Times New Roman" w:hAnsi="Times New Roman" w:eastAsia="宋体"/>
          <w:b w:val="0"/>
          <w:color w:val="000000"/>
          <w:sz w:val="24"/>
        </w:rPr>
        <w:t>：IHC和ISH检测全程应严格按照《胃癌HER2检测指南（2016版）》操作规范执行。所有经病理诊断证实为胃或食管胃结合部腺癌的病例均有必要进行HER2检测。</w:t>
      </w:r>
    </w:p>
    <w:p w14:paraId="249B23EF">
      <w:pPr>
        <w:pStyle w:val="16"/>
        <w:spacing w:before="0" w:after="0" w:line="360" w:lineRule="auto"/>
      </w:pPr>
      <w:r>
        <w:rPr>
          <w:rFonts w:ascii="Times New Roman" w:hAnsi="Times New Roman" w:eastAsia="宋体"/>
          <w:b/>
          <w:color w:val="000000"/>
          <w:sz w:val="24"/>
        </w:rPr>
        <w:t>MSI/MMR</w:t>
      </w:r>
      <w:r>
        <w:rPr>
          <w:rFonts w:ascii="Times New Roman" w:hAnsi="Times New Roman" w:eastAsia="宋体"/>
          <w:b w:val="0"/>
          <w:color w:val="000000"/>
          <w:sz w:val="24"/>
        </w:rPr>
        <w:t>：免疫组化检测MLH1、PMS2、MSH2、MSH6四个蛋白表达，任何一个蛋白表达缺失评价为dMMR，所有四个蛋白表达均阳性为pMMR。MSI检测建议采用NCI推荐的5个微卫星检测位点或MSI检测Panel。</w:t>
      </w:r>
    </w:p>
    <w:p w14:paraId="6056B214">
      <w:pPr>
        <w:pStyle w:val="16"/>
        <w:spacing w:before="0" w:after="0" w:line="360" w:lineRule="auto"/>
      </w:pPr>
      <w:r>
        <w:rPr>
          <w:rFonts w:ascii="Times New Roman" w:hAnsi="Times New Roman" w:eastAsia="宋体"/>
          <w:b/>
          <w:color w:val="000000"/>
          <w:sz w:val="24"/>
        </w:rPr>
        <w:t>PD-L1</w:t>
      </w:r>
      <w:r>
        <w:rPr>
          <w:rFonts w:ascii="Times New Roman" w:hAnsi="Times New Roman" w:eastAsia="宋体"/>
          <w:b w:val="0"/>
          <w:color w:val="000000"/>
          <w:sz w:val="24"/>
        </w:rPr>
        <w:t>：推荐选用获得认证的抗体与平台。适合检测的标本中肿瘤细胞必须至少100个。检测报告推荐使用CPS或TAP评分。</w:t>
      </w:r>
    </w:p>
    <w:p w14:paraId="0002A8A1">
      <w:pPr>
        <w:pStyle w:val="16"/>
        <w:spacing w:before="0" w:after="0" w:line="360" w:lineRule="auto"/>
      </w:pPr>
      <w:r>
        <w:rPr>
          <w:rFonts w:ascii="Times New Roman" w:hAnsi="Times New Roman" w:eastAsia="宋体"/>
          <w:b/>
          <w:color w:val="000000"/>
          <w:sz w:val="24"/>
        </w:rPr>
        <w:t>Claudin 18.2</w:t>
      </w:r>
      <w:r>
        <w:rPr>
          <w:rFonts w:ascii="Times New Roman" w:hAnsi="Times New Roman" w:eastAsia="宋体"/>
          <w:b w:val="0"/>
          <w:color w:val="000000"/>
          <w:sz w:val="24"/>
        </w:rPr>
        <w:t>：采用免疫组化方法，推荐选用获得认证的检测抗体、方案与平台。佐妥昔单抗适应证为CLDN18.2阳性（≥75%肿瘤细胞呈现中等-强膜染色）的胃腺癌患者。</w:t>
      </w:r>
    </w:p>
    <w:p w14:paraId="70959EDF">
      <w:pPr>
        <w:pStyle w:val="3"/>
        <w:keepNext/>
        <w:spacing w:before="280" w:after="120" w:line="360" w:lineRule="auto"/>
      </w:pPr>
      <w:bookmarkStart w:id="9" w:name="_LarkToc00010"/>
      <w:r>
        <w:rPr>
          <w:rFonts w:ascii="Times New Roman" w:hAnsi="Times New Roman" w:eastAsia="黑体"/>
          <w:b/>
          <w:color w:val="000000"/>
          <w:sz w:val="32"/>
        </w:rPr>
        <w:t>三、住院第3—7天：确诊、分期、多学科决策</w:t>
      </w:r>
      <w:bookmarkEnd w:id="9"/>
    </w:p>
    <w:p w14:paraId="2748A22D">
      <w:pPr>
        <w:pStyle w:val="4"/>
        <w:keepNext/>
        <w:spacing w:before="220" w:after="100" w:line="360" w:lineRule="auto"/>
      </w:pPr>
      <w:bookmarkStart w:id="10" w:name="_LarkToc00011"/>
      <w:r>
        <w:rPr>
          <w:rFonts w:ascii="Times New Roman" w:hAnsi="Times New Roman" w:eastAsia="黑体"/>
          <w:b/>
          <w:color w:val="000000"/>
          <w:sz w:val="28"/>
        </w:rPr>
        <w:t>（一）病理确诊</w:t>
      </w:r>
      <w:bookmarkEnd w:id="10"/>
    </w:p>
    <w:p w14:paraId="1358412A">
      <w:pPr>
        <w:pStyle w:val="16"/>
        <w:spacing w:before="0" w:after="0" w:line="360" w:lineRule="auto"/>
      </w:pPr>
      <w:r>
        <w:rPr>
          <w:rFonts w:ascii="Times New Roman" w:hAnsi="Times New Roman" w:eastAsia="宋体"/>
          <w:b w:val="0"/>
          <w:color w:val="000000"/>
          <w:sz w:val="24"/>
        </w:rPr>
        <w:t>病理回报后明确是否为胃癌、类型、分化程度、Lauren分型。</w:t>
      </w:r>
    </w:p>
    <w:p w14:paraId="429F6CE1">
      <w:pPr>
        <w:pStyle w:val="16"/>
        <w:spacing w:before="0" w:after="0" w:line="360" w:lineRule="auto"/>
      </w:pPr>
      <w:r>
        <w:rPr>
          <w:rFonts w:ascii="Times New Roman" w:hAnsi="Times New Roman" w:eastAsia="宋体"/>
          <w:b w:val="0"/>
          <w:color w:val="000000"/>
          <w:sz w:val="24"/>
        </w:rPr>
        <w:t>胃癌组织病理学分类参照2019年版WHO消化系统肿瘤分类。</w:t>
      </w:r>
    </w:p>
    <w:p w14:paraId="55B25CFC">
      <w:pPr>
        <w:pStyle w:val="16"/>
        <w:spacing w:before="0" w:after="0" w:line="360" w:lineRule="auto"/>
      </w:pPr>
      <w:r>
        <w:rPr>
          <w:rFonts w:ascii="Times New Roman" w:hAnsi="Times New Roman" w:eastAsia="宋体"/>
          <w:b w:val="0"/>
          <w:color w:val="000000"/>
          <w:sz w:val="24"/>
        </w:rPr>
        <w:t>Lauren分型：肠型、弥漫型、混合型。</w:t>
      </w:r>
    </w:p>
    <w:p w14:paraId="003B26C6">
      <w:pPr>
        <w:pStyle w:val="4"/>
        <w:keepNext/>
        <w:spacing w:before="220" w:after="100" w:line="360" w:lineRule="auto"/>
      </w:pPr>
      <w:bookmarkStart w:id="11" w:name="_LarkToc00012"/>
      <w:r>
        <w:rPr>
          <w:rFonts w:ascii="Times New Roman" w:hAnsi="Times New Roman" w:eastAsia="黑体"/>
          <w:b/>
          <w:color w:val="000000"/>
          <w:sz w:val="28"/>
        </w:rPr>
        <w:t>（二）临床分期</w:t>
      </w:r>
      <w:bookmarkEnd w:id="11"/>
    </w:p>
    <w:p w14:paraId="18D43311">
      <w:pPr>
        <w:pStyle w:val="16"/>
        <w:spacing w:before="0" w:after="0" w:line="360" w:lineRule="auto"/>
      </w:pPr>
      <w:r>
        <w:rPr>
          <w:rFonts w:ascii="Times New Roman" w:hAnsi="Times New Roman" w:eastAsia="宋体"/>
          <w:b w:val="0"/>
          <w:color w:val="000000"/>
          <w:sz w:val="24"/>
        </w:rPr>
        <w:t>结合CT、超声内镜等判断：早期、进展期或晚期，有无淋巴结转移、远处转移。</w:t>
      </w:r>
    </w:p>
    <w:p w14:paraId="00888303">
      <w:pPr>
        <w:pStyle w:val="16"/>
        <w:spacing w:before="0" w:after="0" w:line="360" w:lineRule="auto"/>
      </w:pPr>
      <w:r>
        <w:rPr>
          <w:rFonts w:ascii="Times New Roman" w:hAnsi="Times New Roman" w:eastAsia="宋体"/>
          <w:b w:val="0"/>
          <w:color w:val="000000"/>
          <w:sz w:val="24"/>
        </w:rPr>
        <w:t>采用AJCC/UICC第8版TNM分期。</w:t>
      </w:r>
    </w:p>
    <w:p w14:paraId="1B5E1180">
      <w:pPr>
        <w:pStyle w:val="16"/>
        <w:spacing w:before="0" w:after="0" w:line="360" w:lineRule="auto"/>
      </w:pPr>
      <w:r>
        <w:rPr>
          <w:rFonts w:ascii="Times New Roman" w:hAnsi="Times New Roman" w:eastAsia="宋体"/>
          <w:b w:val="0"/>
          <w:color w:val="000000"/>
          <w:sz w:val="24"/>
        </w:rPr>
        <w:t>影像学报告应提供涉及cTNM分期的征象描述，并给出分期诊断。</w:t>
      </w:r>
    </w:p>
    <w:p w14:paraId="0E927E31">
      <w:pPr>
        <w:pStyle w:val="4"/>
        <w:keepNext/>
        <w:spacing w:before="220" w:after="100" w:line="360" w:lineRule="auto"/>
      </w:pPr>
      <w:bookmarkStart w:id="12" w:name="_LarkToc00013"/>
      <w:r>
        <w:rPr>
          <w:rFonts w:ascii="Times New Roman" w:hAnsi="Times New Roman" w:eastAsia="黑体"/>
          <w:b/>
          <w:color w:val="000000"/>
          <w:sz w:val="28"/>
        </w:rPr>
        <w:t>（三）MDT多学科会诊</w:t>
      </w:r>
      <w:bookmarkEnd w:id="12"/>
    </w:p>
    <w:p w14:paraId="1D1837D2">
      <w:pPr>
        <w:pStyle w:val="16"/>
        <w:spacing w:before="0" w:after="0" w:line="360" w:lineRule="auto"/>
      </w:pPr>
      <w:r>
        <w:rPr>
          <w:rFonts w:ascii="Times New Roman" w:hAnsi="Times New Roman" w:eastAsia="宋体"/>
          <w:b w:val="0"/>
          <w:color w:val="000000"/>
          <w:sz w:val="24"/>
        </w:rPr>
        <w:t>胃肠外科、肿瘤内科、放疗科、影像科、病理科、内镜科等共同讨论，围绕根治、保功能、生活质量制定个体化方案。</w:t>
      </w:r>
    </w:p>
    <w:p w14:paraId="3D6C5B79">
      <w:pPr>
        <w:pStyle w:val="16"/>
        <w:spacing w:before="0" w:after="0" w:line="360" w:lineRule="auto"/>
      </w:pPr>
      <w:r>
        <w:rPr>
          <w:rFonts w:ascii="Times New Roman" w:hAnsi="Times New Roman" w:eastAsia="宋体"/>
          <w:b w:val="0"/>
          <w:color w:val="000000"/>
          <w:sz w:val="24"/>
        </w:rPr>
        <w:t>MDT学科构成：外科（胃肠外科、普外科）、肿瘤内科、放射治疗科、影像科、病理科、内镜科、超声科、介入治疗科、胸外科等。</w:t>
      </w:r>
    </w:p>
    <w:p w14:paraId="16C16C46">
      <w:pPr>
        <w:pStyle w:val="16"/>
        <w:spacing w:before="0" w:after="0" w:line="360" w:lineRule="auto"/>
      </w:pPr>
      <w:r>
        <w:rPr>
          <w:rFonts w:ascii="Times New Roman" w:hAnsi="Times New Roman" w:eastAsia="宋体"/>
          <w:b w:val="0"/>
          <w:color w:val="000000"/>
          <w:sz w:val="24"/>
        </w:rPr>
        <w:t>MDT讨论内容：仅有肝转移的患者、转移瘤潜在可切除的患者、中低位直肠癌患者需要特殊辅助治疗决策的患者、直肠癌局部复发患者、主管医师认为需要MDT的患者、推荐进入临床研究的患者、少见病例。</w:t>
      </w:r>
    </w:p>
    <w:p w14:paraId="7F2D8AB3">
      <w:pPr>
        <w:pStyle w:val="16"/>
        <w:spacing w:before="0" w:after="0" w:line="360" w:lineRule="auto"/>
      </w:pPr>
      <w:r>
        <w:rPr>
          <w:rFonts w:ascii="Times New Roman" w:hAnsi="Times New Roman" w:eastAsia="宋体"/>
          <w:b w:val="0"/>
          <w:color w:val="000000"/>
          <w:sz w:val="24"/>
        </w:rPr>
        <w:t>MDT日常活动：固定学科/固定专家、固定时间（建议每1—2周1次）、固定场所、固定设备。</w:t>
      </w:r>
    </w:p>
    <w:p w14:paraId="14B38E0C">
      <w:pPr>
        <w:pStyle w:val="4"/>
        <w:keepNext/>
        <w:spacing w:before="220" w:after="100" w:line="360" w:lineRule="auto"/>
      </w:pPr>
      <w:bookmarkStart w:id="13" w:name="_LarkToc00014"/>
      <w:r>
        <w:rPr>
          <w:rFonts w:ascii="Times New Roman" w:hAnsi="Times New Roman" w:eastAsia="黑体"/>
          <w:b/>
          <w:color w:val="000000"/>
          <w:sz w:val="28"/>
        </w:rPr>
        <w:t>（四）制定治疗方案</w:t>
      </w:r>
      <w:bookmarkEnd w:id="13"/>
    </w:p>
    <w:p w14:paraId="7BE4BD1C">
      <w:pPr>
        <w:pStyle w:val="5"/>
        <w:keepNext/>
        <w:spacing w:before="180" w:after="80" w:line="360" w:lineRule="auto"/>
      </w:pPr>
      <w:r>
        <w:rPr>
          <w:rFonts w:ascii="Times New Roman" w:hAnsi="Times New Roman" w:eastAsia="黑体"/>
          <w:b/>
          <w:color w:val="000000"/>
          <w:sz w:val="24"/>
        </w:rPr>
        <w:t>1. 早期胃癌（cT1aN0M0，Ⅰ期）</w:t>
      </w:r>
    </w:p>
    <w:p w14:paraId="68109D64">
      <w:pPr>
        <w:spacing w:before="0" w:after="0" w:line="360" w:lineRule="auto"/>
        <w:jc w:val="both"/>
      </w:pPr>
      <w:r>
        <w:rPr>
          <w:rFonts w:ascii="Times New Roman" w:hAnsi="Times New Roman" w:eastAsia="宋体"/>
          <w:b/>
          <w:color w:val="000000"/>
          <w:sz w:val="24"/>
        </w:rPr>
        <w:t>适宜行EMR/ESD患者：</w:t>
      </w:r>
    </w:p>
    <w:p w14:paraId="55A65D42">
      <w:pPr>
        <w:pStyle w:val="16"/>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：EMR/ESD（1B类）。</w:t>
      </w:r>
    </w:p>
    <w:p w14:paraId="178D47F1">
      <w:pPr>
        <w:pStyle w:val="16"/>
        <w:spacing w:before="0" w:after="0" w:line="360" w:lineRule="auto"/>
      </w:pPr>
      <w:r>
        <w:rPr>
          <w:rFonts w:ascii="Times New Roman" w:hAnsi="Times New Roman" w:eastAsia="宋体"/>
          <w:b w:val="0"/>
          <w:color w:val="000000"/>
          <w:sz w:val="24"/>
        </w:rPr>
        <w:t>非根治性切除者需要行补救手术（1B类）。</w:t>
      </w:r>
    </w:p>
    <w:p w14:paraId="5963CC5A">
      <w:pPr>
        <w:pStyle w:val="16"/>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：非根治性切除者需要追加ESD、电切，或在患者知情同意下密切随访（2A类）。</w:t>
      </w:r>
    </w:p>
    <w:p w14:paraId="3F33FB27">
      <w:pPr>
        <w:spacing w:before="0" w:after="0" w:line="360" w:lineRule="auto"/>
        <w:jc w:val="both"/>
      </w:pPr>
      <w:r>
        <w:rPr>
          <w:rFonts w:ascii="Times New Roman" w:hAnsi="Times New Roman" w:eastAsia="宋体"/>
          <w:b/>
          <w:color w:val="000000"/>
          <w:sz w:val="24"/>
        </w:rPr>
        <w:t>EMR/ESD适应证：</w:t>
      </w:r>
    </w:p>
    <w:p w14:paraId="5B345F97">
      <w:pPr>
        <w:pStyle w:val="16"/>
        <w:spacing w:before="0" w:after="0" w:line="360" w:lineRule="auto"/>
      </w:pPr>
      <w:r>
        <w:rPr>
          <w:rFonts w:ascii="Times New Roman" w:hAnsi="Times New Roman" w:eastAsia="宋体"/>
          <w:b w:val="0"/>
          <w:color w:val="000000"/>
          <w:sz w:val="24"/>
        </w:rPr>
        <w:t>绝对适应证：肿瘤&lt;2cm，黏膜内癌（cT1a），分化型，不伴溃疡；肿瘤&lt;3cm，黏膜内癌（cT1a），分化型、伴溃疡；肿瘤&lt;2cm，黏膜内癌（cT1a），未分化型，不伴溃疡。</w:t>
      </w:r>
    </w:p>
    <w:p w14:paraId="066A80AC">
      <w:pPr>
        <w:pStyle w:val="16"/>
        <w:spacing w:before="0" w:after="0" w:line="360" w:lineRule="auto"/>
      </w:pPr>
      <w:r>
        <w:rPr>
          <w:rFonts w:ascii="Times New Roman" w:hAnsi="Times New Roman" w:eastAsia="宋体"/>
          <w:b w:val="0"/>
          <w:color w:val="000000"/>
          <w:sz w:val="24"/>
        </w:rPr>
        <w:t>ESD扩大适应证：对于具有绝对适应证且为分化型癌的病变，初次内镜下切除后局部复发（残留），且内镜判断为cT1a，内镜根治度评估为eCura C-1的病变。</w:t>
      </w:r>
    </w:p>
    <w:p w14:paraId="04F3B5FA">
      <w:pPr>
        <w:pStyle w:val="16"/>
        <w:spacing w:before="0" w:after="0" w:line="360" w:lineRule="auto"/>
      </w:pPr>
      <w:r>
        <w:rPr>
          <w:rFonts w:ascii="Times New Roman" w:hAnsi="Times New Roman" w:eastAsia="宋体"/>
          <w:b w:val="0"/>
          <w:color w:val="000000"/>
          <w:sz w:val="24"/>
        </w:rPr>
        <w:t>ESD相对适应证：对于高龄、服用抗血栓药物治疗等不具备外科手术条件的早期胃癌患者，为降低治疗风险，可考虑内镜下治疗。</w:t>
      </w:r>
    </w:p>
    <w:p w14:paraId="5F3E4339">
      <w:pPr>
        <w:spacing w:before="0" w:after="0" w:line="360" w:lineRule="auto"/>
        <w:jc w:val="both"/>
      </w:pPr>
      <w:r>
        <w:rPr>
          <w:rFonts w:ascii="Times New Roman" w:hAnsi="Times New Roman" w:eastAsia="宋体"/>
          <w:b/>
          <w:color w:val="000000"/>
          <w:sz w:val="24"/>
        </w:rPr>
        <w:t>eCura评价系统：</w:t>
      </w:r>
    </w:p>
    <w:p w14:paraId="32C32EF8">
      <w:pPr>
        <w:pStyle w:val="16"/>
        <w:spacing w:before="0" w:after="0" w:line="360" w:lineRule="auto"/>
      </w:pPr>
      <w:r>
        <w:rPr>
          <w:rFonts w:ascii="Times New Roman" w:hAnsi="Times New Roman" w:eastAsia="宋体"/>
          <w:b w:val="0"/>
          <w:color w:val="000000"/>
          <w:sz w:val="24"/>
        </w:rPr>
        <w:t>eCuraA：符合整块切除、切缘阴性并无淋巴血管侵犯。</w:t>
      </w:r>
    </w:p>
    <w:p w14:paraId="47660A74">
      <w:pPr>
        <w:pStyle w:val="16"/>
        <w:spacing w:before="0" w:after="0" w:line="360" w:lineRule="auto"/>
      </w:pPr>
      <w:r>
        <w:rPr>
          <w:rFonts w:ascii="Times New Roman" w:hAnsi="Times New Roman" w:eastAsia="宋体"/>
          <w:b w:val="0"/>
          <w:color w:val="000000"/>
          <w:sz w:val="24"/>
        </w:rPr>
        <w:t>eCuraB：符合整块切除、切缘阴性并无淋巴血管侵犯。</w:t>
      </w:r>
    </w:p>
    <w:p w14:paraId="00B8F953">
      <w:pPr>
        <w:pStyle w:val="16"/>
        <w:spacing w:before="0" w:after="0" w:line="360" w:lineRule="auto"/>
      </w:pPr>
      <w:r>
        <w:rPr>
          <w:rFonts w:ascii="Times New Roman" w:hAnsi="Times New Roman" w:eastAsia="宋体"/>
          <w:b w:val="0"/>
          <w:color w:val="000000"/>
          <w:sz w:val="24"/>
        </w:rPr>
        <w:t>eCuraC-1：分化为主型胃癌，符合A或B，但侧切缘阳性或分块切除。</w:t>
      </w:r>
    </w:p>
    <w:p w14:paraId="18EA7314">
      <w:pPr>
        <w:pStyle w:val="16"/>
        <w:spacing w:before="0" w:after="0" w:line="360" w:lineRule="auto"/>
      </w:pPr>
      <w:r>
        <w:rPr>
          <w:rFonts w:ascii="Times New Roman" w:hAnsi="Times New Roman" w:eastAsia="宋体"/>
          <w:b w:val="0"/>
          <w:color w:val="000000"/>
          <w:sz w:val="24"/>
        </w:rPr>
        <w:t>eCuraC-2：原则上应追加外科切除联合淋巴结清扫术。</w:t>
      </w:r>
    </w:p>
    <w:p w14:paraId="799A9DBB">
      <w:pPr>
        <w:spacing w:before="0" w:after="0" w:line="360" w:lineRule="auto"/>
        <w:jc w:val="both"/>
      </w:pPr>
      <w:r>
        <w:rPr>
          <w:rFonts w:ascii="Times New Roman" w:hAnsi="Times New Roman" w:eastAsia="宋体"/>
          <w:b/>
          <w:color w:val="000000"/>
          <w:sz w:val="24"/>
        </w:rPr>
        <w:t>内镜下切除后的随访及治疗策略：</w:t>
      </w:r>
    </w:p>
    <w:p w14:paraId="2C64B743">
      <w:pPr>
        <w:pStyle w:val="16"/>
        <w:spacing w:before="0" w:after="0" w:line="360" w:lineRule="auto"/>
      </w:pPr>
      <w:r>
        <w:rPr>
          <w:rFonts w:ascii="Times New Roman" w:hAnsi="Times New Roman" w:eastAsia="宋体"/>
          <w:b w:val="0"/>
          <w:color w:val="000000"/>
          <w:sz w:val="24"/>
        </w:rPr>
        <w:t>eCuraA：第一年每6个月复查一次胃镜，后每年复查一次胃镜。Hp感染阳性者推荐除菌。</w:t>
      </w:r>
    </w:p>
    <w:p w14:paraId="0890C6DF">
      <w:pPr>
        <w:pStyle w:val="16"/>
        <w:spacing w:before="0" w:after="0" w:line="360" w:lineRule="auto"/>
      </w:pPr>
      <w:r>
        <w:rPr>
          <w:rFonts w:ascii="Times New Roman" w:hAnsi="Times New Roman" w:eastAsia="宋体"/>
          <w:b w:val="0"/>
          <w:color w:val="000000"/>
          <w:sz w:val="24"/>
        </w:rPr>
        <w:t>eCuraB：第一年每6个月复查一次胃镜，后每年复查一次胃镜。同时结合血清学、腹部超声、CT等影像学手段监测有无淋巴结转移。Hp感染阳性者推荐除菌。</w:t>
      </w:r>
    </w:p>
    <w:p w14:paraId="7D007329">
      <w:pPr>
        <w:pStyle w:val="16"/>
        <w:spacing w:before="0" w:after="0" w:line="360" w:lineRule="auto"/>
      </w:pPr>
      <w:r>
        <w:rPr>
          <w:rFonts w:ascii="Times New Roman" w:hAnsi="Times New Roman" w:eastAsia="宋体"/>
          <w:b w:val="0"/>
          <w:color w:val="000000"/>
          <w:sz w:val="24"/>
        </w:rPr>
        <w:t>eCuraC-1：可根据情况，与患者充分沟通后，选择再行补救ESD、追加外科手术或者原有创面烧灼电凝处理后密切随访。</w:t>
      </w:r>
    </w:p>
    <w:p w14:paraId="2F2621B7">
      <w:pPr>
        <w:pStyle w:val="16"/>
        <w:spacing w:before="0" w:after="0" w:line="360" w:lineRule="auto"/>
      </w:pPr>
      <w:r>
        <w:rPr>
          <w:rFonts w:ascii="Times New Roman" w:hAnsi="Times New Roman" w:eastAsia="宋体"/>
          <w:b w:val="0"/>
          <w:color w:val="000000"/>
          <w:sz w:val="24"/>
        </w:rPr>
        <w:t>eCuraC-2：原则上应追加外科切除联合淋巴结清扫术。</w:t>
      </w:r>
    </w:p>
    <w:p w14:paraId="7C5427A3">
      <w:pPr>
        <w:spacing w:before="0" w:after="0" w:line="360" w:lineRule="auto"/>
        <w:jc w:val="both"/>
      </w:pPr>
      <w:r>
        <w:rPr>
          <w:rFonts w:ascii="Times New Roman" w:hAnsi="Times New Roman" w:eastAsia="宋体"/>
          <w:b/>
          <w:color w:val="000000"/>
          <w:sz w:val="24"/>
        </w:rPr>
        <w:t>不适宜EMR/ESD患者：</w:t>
      </w:r>
    </w:p>
    <w:p w14:paraId="3939A940">
      <w:pPr>
        <w:pStyle w:val="16"/>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：胃切除术D1（1A类）。</w:t>
      </w:r>
    </w:p>
    <w:p w14:paraId="5CFC9567">
      <w:pPr>
        <w:pStyle w:val="16"/>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：cT1—3N0M0适宜手术，胃切除D1（分化型，1.5cm以下）或胃切除术D1+（其他）（1A类）。</w:t>
      </w:r>
    </w:p>
    <w:p w14:paraId="34A0CD16">
      <w:pPr>
        <w:pStyle w:val="16"/>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：cT2—3N0M0适宜手术，胃切除术D2（1A类）。</w:t>
      </w:r>
    </w:p>
    <w:p w14:paraId="23190AAE">
      <w:pPr>
        <w:pStyle w:val="5"/>
        <w:keepNext/>
        <w:spacing w:before="180" w:after="80" w:line="360" w:lineRule="auto"/>
      </w:pPr>
      <w:r>
        <w:rPr>
          <w:rFonts w:ascii="Times New Roman" w:hAnsi="Times New Roman" w:eastAsia="黑体"/>
          <w:b/>
          <w:color w:val="000000"/>
          <w:sz w:val="24"/>
        </w:rPr>
        <w:t>2. 进展期胃癌</w:t>
      </w:r>
    </w:p>
    <w:p w14:paraId="0DE32708">
      <w:pPr>
        <w:spacing w:before="0" w:after="0" w:line="360" w:lineRule="auto"/>
        <w:jc w:val="both"/>
      </w:pPr>
      <w:r>
        <w:rPr>
          <w:rFonts w:ascii="Times New Roman" w:hAnsi="Times New Roman" w:eastAsia="宋体"/>
          <w:b/>
          <w:color w:val="000000"/>
          <w:sz w:val="24"/>
        </w:rPr>
        <w:t>（1）Ⅱ期</w:t>
      </w:r>
    </w:p>
    <w:p w14:paraId="640DFD3A">
      <w:pPr>
        <w:pStyle w:val="16"/>
        <w:spacing w:before="0" w:after="0" w:line="360" w:lineRule="auto"/>
      </w:pPr>
      <w:r>
        <w:rPr>
          <w:rFonts w:ascii="Times New Roman" w:hAnsi="Times New Roman" w:eastAsia="宋体"/>
          <w:b/>
          <w:color w:val="000000"/>
          <w:sz w:val="24"/>
        </w:rPr>
        <w:t>cT1—2N1—3M0，非食管胃结合部肿瘤，适宜手术</w:t>
      </w:r>
      <w:r>
        <w:rPr>
          <w:rFonts w:ascii="Times New Roman" w:hAnsi="Times New Roman" w:eastAsia="宋体"/>
          <w:b w:val="0"/>
          <w:color w:val="000000"/>
          <w:sz w:val="24"/>
        </w:rPr>
        <w:t>：</w:t>
      </w:r>
    </w:p>
    <w:p w14:paraId="6BBF2E92">
      <w:pPr>
        <w:pStyle w:val="23"/>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：胃切除术D2+辅助化疗（1A类）。</w:t>
      </w:r>
    </w:p>
    <w:p w14:paraId="7B4CBE83">
      <w:pPr>
        <w:pStyle w:val="16"/>
        <w:spacing w:before="0" w:after="0" w:line="360" w:lineRule="auto"/>
      </w:pPr>
      <w:r>
        <w:rPr>
          <w:rFonts w:ascii="Times New Roman" w:hAnsi="Times New Roman" w:eastAsia="宋体"/>
          <w:b/>
          <w:color w:val="000000"/>
          <w:sz w:val="24"/>
        </w:rPr>
        <w:t>cT3—4N0M0</w:t>
      </w:r>
      <w:r>
        <w:rPr>
          <w:rFonts w:ascii="Times New Roman" w:hAnsi="Times New Roman" w:eastAsia="宋体"/>
          <w:b w:val="0"/>
          <w:color w:val="000000"/>
          <w:sz w:val="24"/>
        </w:rPr>
        <w:t>：</w:t>
      </w:r>
    </w:p>
    <w:p w14:paraId="17361BCF">
      <w:pPr>
        <w:pStyle w:val="23"/>
        <w:spacing w:before="0" w:after="0" w:line="360" w:lineRule="auto"/>
      </w:pPr>
      <w:r>
        <w:rPr>
          <w:rFonts w:ascii="Times New Roman" w:hAnsi="Times New Roman" w:eastAsia="宋体"/>
          <w:b w:val="0"/>
          <w:color w:val="000000"/>
          <w:sz w:val="24"/>
        </w:rPr>
        <w:t>食管胃结合部肿瘤，适宜手术：Ⅰ级推荐新辅助化疗+胃切除术D2+辅助化疗（1B类）；Ⅱ级推荐胃切除术D2+辅助化疗（1B类）；Ⅱ级推荐新辅助放化疗+胃切除术D2+辅助化疗（1B类）。</w:t>
      </w:r>
    </w:p>
    <w:p w14:paraId="349D6F99">
      <w:pPr>
        <w:spacing w:before="0" w:after="0" w:line="360" w:lineRule="auto"/>
        <w:jc w:val="both"/>
      </w:pPr>
      <w:r>
        <w:rPr>
          <w:rFonts w:ascii="Times New Roman" w:hAnsi="Times New Roman" w:eastAsia="宋体"/>
          <w:b/>
          <w:color w:val="000000"/>
          <w:sz w:val="24"/>
        </w:rPr>
        <w:t>（2）Ⅲ期</w:t>
      </w:r>
    </w:p>
    <w:p w14:paraId="5FCADD6C">
      <w:pPr>
        <w:pStyle w:val="16"/>
        <w:spacing w:before="0" w:after="0" w:line="360" w:lineRule="auto"/>
      </w:pPr>
      <w:r>
        <w:rPr>
          <w:rFonts w:ascii="Times New Roman" w:hAnsi="Times New Roman" w:eastAsia="宋体"/>
          <w:b/>
          <w:color w:val="000000"/>
          <w:sz w:val="24"/>
        </w:rPr>
        <w:t>cT3—4N1—3M0，非食管胃结合部肿瘤，适宜手术</w:t>
      </w:r>
      <w:r>
        <w:rPr>
          <w:rFonts w:ascii="Times New Roman" w:hAnsi="Times New Roman" w:eastAsia="宋体"/>
          <w:b w:val="0"/>
          <w:color w:val="000000"/>
          <w:sz w:val="24"/>
        </w:rPr>
        <w:t>：</w:t>
      </w:r>
    </w:p>
    <w:p w14:paraId="08DD2237">
      <w:pPr>
        <w:pStyle w:val="23"/>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：新辅助化疗±免疫治疗+胃切除术D2+辅助化疗±免疫治疗（1A类）。</w:t>
      </w:r>
    </w:p>
    <w:p w14:paraId="7AAA55F1">
      <w:pPr>
        <w:pStyle w:val="23"/>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：胃切除术D2+辅助化疗（1A类）。</w:t>
      </w:r>
    </w:p>
    <w:p w14:paraId="64407E02">
      <w:pPr>
        <w:pStyle w:val="23"/>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：腹腔镜探查（1B类）。</w:t>
      </w:r>
    </w:p>
    <w:p w14:paraId="24F7653D">
      <w:pPr>
        <w:spacing w:before="0" w:after="0" w:line="360" w:lineRule="auto"/>
        <w:jc w:val="both"/>
      </w:pPr>
      <w:r>
        <w:rPr>
          <w:rFonts w:ascii="Times New Roman" w:hAnsi="Times New Roman" w:eastAsia="宋体"/>
          <w:b/>
          <w:color w:val="000000"/>
          <w:sz w:val="24"/>
        </w:rPr>
        <w:t>（3）围手术期治疗推荐</w:t>
      </w:r>
    </w:p>
    <w:p w14:paraId="2458EC5E">
      <w:pPr>
        <w:spacing w:before="0" w:after="0" w:line="360" w:lineRule="auto"/>
        <w:jc w:val="both"/>
      </w:pPr>
      <w:r>
        <w:rPr>
          <w:rFonts w:ascii="Times New Roman" w:hAnsi="Times New Roman" w:eastAsia="宋体"/>
          <w:b/>
          <w:color w:val="000000"/>
          <w:sz w:val="24"/>
        </w:rPr>
        <w:t>非食管胃结合部癌（cT3—4aN+M0，cⅢ期）：</w:t>
      </w:r>
    </w:p>
    <w:p w14:paraId="7C85CC56">
      <w:pPr>
        <w:pStyle w:val="16"/>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：新辅助化疗SOX（1A类）、DOS（1B类）、FLOT4（1B类）。</w:t>
      </w:r>
    </w:p>
    <w:p w14:paraId="589311AD">
      <w:pPr>
        <w:pStyle w:val="16"/>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：对于dMMR/MSI-H型，新辅助PD-1单抗联合CTLA-4单抗（2B类）。</w:t>
      </w:r>
    </w:p>
    <w:p w14:paraId="413F4F08">
      <w:pPr>
        <w:pStyle w:val="16"/>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：新辅助化疗XELOX（2A类）、FOLFOX（2A类）。</w:t>
      </w:r>
    </w:p>
    <w:p w14:paraId="50A04139">
      <w:pPr>
        <w:pStyle w:val="16"/>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：对于dMMR/MSI-H型，新辅助PD-1单抗+化疗（2B类）。</w:t>
      </w:r>
    </w:p>
    <w:p w14:paraId="18A5AE97">
      <w:pPr>
        <w:spacing w:before="0" w:after="0" w:line="360" w:lineRule="auto"/>
        <w:jc w:val="both"/>
      </w:pPr>
      <w:r>
        <w:rPr>
          <w:rFonts w:ascii="Times New Roman" w:hAnsi="Times New Roman" w:eastAsia="宋体"/>
          <w:b/>
          <w:color w:val="000000"/>
          <w:sz w:val="24"/>
        </w:rPr>
        <w:t>食管胃结合部癌（cT3—4aN+M0，cⅢ期）：</w:t>
      </w:r>
    </w:p>
    <w:p w14:paraId="470A2246">
      <w:pPr>
        <w:pStyle w:val="16"/>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：新辅助化疗SOX（1A类）、DOS（1B类）、FLOT4（1B类）。</w:t>
      </w:r>
    </w:p>
    <w:p w14:paraId="34B7C253">
      <w:pPr>
        <w:pStyle w:val="16"/>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：新辅助化疗XELOX（2A类）、FOLFOX（2A类）。</w:t>
      </w:r>
    </w:p>
    <w:p w14:paraId="558B077D">
      <w:pPr>
        <w:pStyle w:val="16"/>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：新辅助放化疗XELOX（2A类）、FOLFOX（2A类），DT 45—50.4Gy（同期氟尿嘧啶类、铂类或紫杉类）（1B类）。</w:t>
      </w:r>
    </w:p>
    <w:p w14:paraId="32DD918F">
      <w:pPr>
        <w:pStyle w:val="16"/>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：对于dMMR/MSI-H型，新辅助PD-1单抗+CTLA-4单抗（2B类）。</w:t>
      </w:r>
    </w:p>
    <w:p w14:paraId="26D9E3E1">
      <w:pPr>
        <w:pStyle w:val="16"/>
        <w:spacing w:before="0" w:after="0" w:line="360" w:lineRule="auto"/>
      </w:pPr>
      <w:r>
        <w:rPr>
          <w:rFonts w:ascii="Times New Roman" w:hAnsi="Times New Roman" w:eastAsia="宋体"/>
          <w:b/>
          <w:color w:val="000000"/>
          <w:sz w:val="24"/>
        </w:rPr>
        <w:t>Ⅲ级推荐</w:t>
      </w:r>
      <w:r>
        <w:rPr>
          <w:rFonts w:ascii="Times New Roman" w:hAnsi="Times New Roman" w:eastAsia="宋体"/>
          <w:b w:val="0"/>
          <w:color w:val="000000"/>
          <w:sz w:val="24"/>
        </w:rPr>
        <w:t>：新辅助放疗（不能耐受化疗者）（2B类）。</w:t>
      </w:r>
    </w:p>
    <w:p w14:paraId="7BF26999">
      <w:pPr>
        <w:pStyle w:val="16"/>
        <w:spacing w:before="0" w:after="0" w:line="360" w:lineRule="auto"/>
      </w:pPr>
      <w:r>
        <w:rPr>
          <w:rFonts w:ascii="Times New Roman" w:hAnsi="Times New Roman" w:eastAsia="宋体"/>
          <w:b/>
          <w:color w:val="000000"/>
          <w:sz w:val="24"/>
        </w:rPr>
        <w:t>Ⅲ级推荐</w:t>
      </w:r>
      <w:r>
        <w:rPr>
          <w:rFonts w:ascii="Times New Roman" w:hAnsi="Times New Roman" w:eastAsia="宋体"/>
          <w:b w:val="0"/>
          <w:color w:val="000000"/>
          <w:sz w:val="24"/>
        </w:rPr>
        <w:t>：对于dMMR/MSI-H型，新辅助PD-1单抗+化疗（2B类）。</w:t>
      </w:r>
    </w:p>
    <w:p w14:paraId="435A0187">
      <w:pPr>
        <w:spacing w:before="0" w:after="0" w:line="360" w:lineRule="auto"/>
        <w:jc w:val="both"/>
      </w:pPr>
      <w:r>
        <w:rPr>
          <w:rFonts w:ascii="Times New Roman" w:hAnsi="Times New Roman" w:eastAsia="宋体"/>
          <w:b/>
          <w:color w:val="000000"/>
          <w:sz w:val="24"/>
        </w:rPr>
        <w:t>（4）术后辅助治疗</w:t>
      </w:r>
    </w:p>
    <w:p w14:paraId="6833A5F1">
      <w:pPr>
        <w:spacing w:before="0" w:after="0" w:line="360" w:lineRule="auto"/>
        <w:jc w:val="both"/>
      </w:pPr>
      <w:r>
        <w:rPr>
          <w:rFonts w:ascii="Times New Roman" w:hAnsi="Times New Roman" w:eastAsia="宋体"/>
          <w:b/>
          <w:color w:val="000000"/>
          <w:sz w:val="24"/>
        </w:rPr>
        <w:t>Ⅱ期：</w:t>
      </w:r>
    </w:p>
    <w:p w14:paraId="407FF1BA">
      <w:pPr>
        <w:spacing w:before="0" w:after="0" w:line="360" w:lineRule="auto"/>
        <w:ind w:firstLine="480" w:firstLineChars="200"/>
        <w:jc w:val="both"/>
      </w:pPr>
      <w:r>
        <w:rPr>
          <w:rFonts w:ascii="Times New Roman" w:hAnsi="Times New Roman" w:eastAsia="宋体"/>
          <w:b w:val="0"/>
          <w:color w:val="000000"/>
          <w:sz w:val="24"/>
        </w:rPr>
        <w:t>pT1N2—3aM0、pT2N1—2M0、pT3N0—1M0、pT4aN0M0，D2、R0切除：</w:t>
      </w:r>
    </w:p>
    <w:p w14:paraId="41698B7A">
      <w:pPr>
        <w:pStyle w:val="16"/>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：SOX（1A类）、XP（1B类）、S-1单药（1A类）、XELOX（1A类）。</w:t>
      </w:r>
    </w:p>
    <w:p w14:paraId="12DDC346">
      <w:pPr>
        <w:pStyle w:val="16"/>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：FOLFOX（2B类）。</w:t>
      </w:r>
    </w:p>
    <w:p w14:paraId="247C6E5A">
      <w:pPr>
        <w:spacing w:before="0" w:after="0" w:line="360" w:lineRule="auto"/>
        <w:jc w:val="both"/>
      </w:pPr>
      <w:r>
        <w:rPr>
          <w:rFonts w:ascii="Times New Roman" w:hAnsi="Times New Roman" w:eastAsia="宋体"/>
          <w:b/>
          <w:color w:val="000000"/>
          <w:sz w:val="24"/>
        </w:rPr>
        <w:t>Ⅲ期：</w:t>
      </w:r>
    </w:p>
    <w:p w14:paraId="29AABCB5">
      <w:pPr>
        <w:spacing w:before="0" w:after="0" w:line="360" w:lineRule="auto"/>
        <w:ind w:firstLine="480" w:firstLineChars="200"/>
        <w:jc w:val="both"/>
      </w:pPr>
      <w:r>
        <w:rPr>
          <w:rFonts w:ascii="Times New Roman" w:hAnsi="Times New Roman" w:eastAsia="宋体"/>
          <w:b w:val="0"/>
          <w:color w:val="000000"/>
          <w:sz w:val="24"/>
        </w:rPr>
        <w:t>pT1N3bM0、pT2N3M0、pT3N2—3M0、pT4aN1—3M0、pT4bN0—3M0，D2、R0切除：</w:t>
      </w:r>
    </w:p>
    <w:p w14:paraId="5E3FBE58">
      <w:pPr>
        <w:pStyle w:val="16"/>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：SOX（1A类）、XELOX（1A类）、S-1×1+D5×7+S-1至1年（1A类）。</w:t>
      </w:r>
    </w:p>
    <w:p w14:paraId="1C119DC8">
      <w:pPr>
        <w:pStyle w:val="16"/>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：FOLFOX（2B类）。</w:t>
      </w:r>
    </w:p>
    <w:p w14:paraId="778D59B0">
      <w:pPr>
        <w:spacing w:before="0" w:after="0" w:line="360" w:lineRule="auto"/>
        <w:jc w:val="both"/>
      </w:pPr>
      <w:r>
        <w:rPr>
          <w:rFonts w:ascii="Times New Roman" w:hAnsi="Times New Roman" w:eastAsia="宋体"/>
          <w:b/>
          <w:color w:val="000000"/>
          <w:sz w:val="24"/>
        </w:rPr>
        <w:t>dMMR/MSI-H患者：</w:t>
      </w:r>
    </w:p>
    <w:p w14:paraId="534A981C">
      <w:pPr>
        <w:spacing w:before="0" w:after="0" w:line="360" w:lineRule="auto"/>
        <w:ind w:firstLine="480" w:firstLineChars="200"/>
        <w:jc w:val="both"/>
      </w:pPr>
      <w:r>
        <w:rPr>
          <w:rFonts w:ascii="Times New Roman" w:hAnsi="Times New Roman" w:eastAsia="宋体"/>
          <w:b w:val="0"/>
          <w:color w:val="000000"/>
          <w:sz w:val="24"/>
        </w:rPr>
        <w:t>目前多个小样本回顾性研究结果显示dMMR/MSI-H胃癌患者预后良好，但辅助化疗获益结果不一致。总体而言，dMMR/MSI-H胃癌（新）辅助治疗决策优先推荐患者参加免疫治疗临床研究，其次建议与患者及家属详细沟通，选择术后观察或化疗。</w:t>
      </w:r>
    </w:p>
    <w:p w14:paraId="0866B08E">
      <w:pPr>
        <w:pStyle w:val="5"/>
        <w:keepNext/>
        <w:spacing w:before="180" w:after="80" w:line="360" w:lineRule="auto"/>
      </w:pPr>
      <w:r>
        <w:rPr>
          <w:rFonts w:ascii="Times New Roman" w:hAnsi="Times New Roman" w:eastAsia="黑体"/>
          <w:b/>
          <w:color w:val="000000"/>
          <w:sz w:val="24"/>
        </w:rPr>
        <w:t>3. 不可手术切除局部进展期胃癌</w:t>
      </w:r>
    </w:p>
    <w:p w14:paraId="14DD8B65">
      <w:pPr>
        <w:spacing w:before="0" w:after="0" w:line="360" w:lineRule="auto"/>
        <w:jc w:val="both"/>
      </w:pPr>
      <w:r>
        <w:rPr>
          <w:rFonts w:ascii="Times New Roman" w:hAnsi="Times New Roman" w:eastAsia="宋体"/>
          <w:b/>
          <w:color w:val="000000"/>
          <w:sz w:val="24"/>
        </w:rPr>
        <w:t>T4b/淋巴结融合固定，HER2中/低/不表达且pMMR/MSS：</w:t>
      </w:r>
    </w:p>
    <w:p w14:paraId="45597052">
      <w:pPr>
        <w:pStyle w:val="16"/>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：系统治疗后MDT评估转化手术的可行性，仍然不可切除且无转移者接受同步放化疗（1A类）。</w:t>
      </w:r>
    </w:p>
    <w:p w14:paraId="16A3C299">
      <w:pPr>
        <w:pStyle w:val="16"/>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：化疗联合免疫治疗（1B类）；放化疗联合免疫治疗（2类）；化疗（2类）；化疗+放疗（2类）。</w:t>
      </w:r>
    </w:p>
    <w:p w14:paraId="51591C2E">
      <w:pPr>
        <w:pStyle w:val="16"/>
        <w:spacing w:before="0" w:after="0" w:line="360" w:lineRule="auto"/>
      </w:pPr>
      <w:r>
        <w:rPr>
          <w:rFonts w:ascii="Times New Roman" w:hAnsi="Times New Roman" w:eastAsia="宋体"/>
          <w:b/>
          <w:color w:val="000000"/>
          <w:sz w:val="24"/>
        </w:rPr>
        <w:t>Ⅲ级推荐</w:t>
      </w:r>
      <w:r>
        <w:rPr>
          <w:rFonts w:ascii="Times New Roman" w:hAnsi="Times New Roman" w:eastAsia="宋体"/>
          <w:b w:val="0"/>
          <w:color w:val="000000"/>
          <w:sz w:val="24"/>
        </w:rPr>
        <w:t>：化疗+靶向+免疫（3类）。</w:t>
      </w:r>
    </w:p>
    <w:p w14:paraId="0820E38C">
      <w:pPr>
        <w:spacing w:before="0" w:after="0" w:line="360" w:lineRule="auto"/>
        <w:jc w:val="both"/>
      </w:pPr>
      <w:r>
        <w:rPr>
          <w:rFonts w:ascii="Times New Roman" w:hAnsi="Times New Roman" w:eastAsia="宋体"/>
          <w:b/>
          <w:color w:val="000000"/>
          <w:sz w:val="24"/>
        </w:rPr>
        <w:t>HER2高表达或dMMR/MSI-H：</w:t>
      </w:r>
    </w:p>
    <w:p w14:paraId="70CDBF6A">
      <w:pPr>
        <w:spacing w:before="0" w:after="0" w:line="360" w:lineRule="auto"/>
        <w:ind w:firstLine="480" w:firstLineChars="200"/>
        <w:jc w:val="both"/>
      </w:pPr>
      <w:r>
        <w:rPr>
          <w:rFonts w:ascii="Times New Roman" w:hAnsi="Times New Roman" w:eastAsia="宋体"/>
          <w:b w:val="0"/>
          <w:color w:val="000000"/>
          <w:sz w:val="24"/>
        </w:rPr>
        <w:t>系统治疗为主（参照转移性胃癌部分）。</w:t>
      </w:r>
    </w:p>
    <w:p w14:paraId="5A2F47BD">
      <w:pPr>
        <w:spacing w:before="0" w:after="0" w:line="360" w:lineRule="auto"/>
        <w:jc w:val="both"/>
      </w:pPr>
      <w:r>
        <w:rPr>
          <w:rFonts w:ascii="Times New Roman" w:hAnsi="Times New Roman" w:eastAsia="宋体"/>
          <w:b/>
          <w:color w:val="000000"/>
          <w:sz w:val="24"/>
        </w:rPr>
        <w:t>同步放化疗方案：</w:t>
      </w:r>
    </w:p>
    <w:p w14:paraId="1CE19A4A">
      <w:pPr>
        <w:pStyle w:val="16"/>
        <w:spacing w:before="0" w:after="0" w:line="360" w:lineRule="auto"/>
      </w:pPr>
      <w:r>
        <w:rPr>
          <w:rFonts w:ascii="Times New Roman" w:hAnsi="Times New Roman" w:eastAsia="宋体"/>
          <w:b w:val="0"/>
          <w:color w:val="000000"/>
          <w:sz w:val="24"/>
        </w:rPr>
        <w:t>卡铂+紫杉醇（1A类）；</w:t>
      </w:r>
    </w:p>
    <w:p w14:paraId="74C28102">
      <w:pPr>
        <w:pStyle w:val="16"/>
        <w:spacing w:before="0" w:after="0" w:line="360" w:lineRule="auto"/>
      </w:pPr>
      <w:r>
        <w:rPr>
          <w:rFonts w:ascii="Times New Roman" w:hAnsi="Times New Roman" w:eastAsia="宋体"/>
          <w:b w:val="0"/>
          <w:color w:val="000000"/>
          <w:sz w:val="24"/>
        </w:rPr>
        <w:t>顺铂+5-FU或卡培他滨或替吉奥（1A类）；</w:t>
      </w:r>
    </w:p>
    <w:p w14:paraId="27F11572">
      <w:pPr>
        <w:pStyle w:val="16"/>
        <w:spacing w:before="0" w:after="0" w:line="360" w:lineRule="auto"/>
      </w:pPr>
      <w:r>
        <w:rPr>
          <w:rFonts w:ascii="Times New Roman" w:hAnsi="Times New Roman" w:eastAsia="宋体"/>
          <w:b w:val="0"/>
          <w:color w:val="000000"/>
          <w:sz w:val="24"/>
        </w:rPr>
        <w:t>奥沙利铂+5-FU或卡培他滨或替吉奥（2B类）；</w:t>
      </w:r>
    </w:p>
    <w:p w14:paraId="38310F94">
      <w:pPr>
        <w:pStyle w:val="16"/>
        <w:spacing w:before="0" w:after="0" w:line="360" w:lineRule="auto"/>
      </w:pPr>
      <w:r>
        <w:rPr>
          <w:rFonts w:ascii="Times New Roman" w:hAnsi="Times New Roman" w:eastAsia="宋体"/>
          <w:b w:val="0"/>
          <w:color w:val="000000"/>
          <w:sz w:val="24"/>
        </w:rPr>
        <w:t>紫杉醇+5-FU或卡培他滨或替吉奥（2B类）；</w:t>
      </w:r>
    </w:p>
    <w:p w14:paraId="1924B0E7">
      <w:pPr>
        <w:pStyle w:val="16"/>
        <w:spacing w:before="0" w:after="0" w:line="360" w:lineRule="auto"/>
      </w:pPr>
      <w:r>
        <w:rPr>
          <w:rFonts w:ascii="Times New Roman" w:hAnsi="Times New Roman" w:eastAsia="宋体"/>
          <w:b w:val="0"/>
          <w:color w:val="000000"/>
          <w:sz w:val="24"/>
        </w:rPr>
        <w:t>卡培他滨（2B类）；</w:t>
      </w:r>
    </w:p>
    <w:p w14:paraId="2CF22B23">
      <w:pPr>
        <w:pStyle w:val="16"/>
        <w:spacing w:before="0" w:after="0" w:line="360" w:lineRule="auto"/>
      </w:pPr>
      <w:r>
        <w:rPr>
          <w:rFonts w:ascii="Times New Roman" w:hAnsi="Times New Roman" w:eastAsia="宋体"/>
          <w:b w:val="0"/>
          <w:color w:val="000000"/>
          <w:sz w:val="24"/>
        </w:rPr>
        <w:t>替吉奥（2B类）；</w:t>
      </w:r>
    </w:p>
    <w:p w14:paraId="6C785C5F">
      <w:pPr>
        <w:pStyle w:val="16"/>
        <w:spacing w:before="0" w:after="0" w:line="360" w:lineRule="auto"/>
      </w:pPr>
      <w:r>
        <w:rPr>
          <w:rFonts w:ascii="Times New Roman" w:hAnsi="Times New Roman" w:eastAsia="宋体"/>
          <w:b w:val="0"/>
          <w:color w:val="000000"/>
          <w:sz w:val="24"/>
        </w:rPr>
        <w:t>5-FU（1A类）。</w:t>
      </w:r>
    </w:p>
    <w:p w14:paraId="12CADAAE">
      <w:pPr>
        <w:spacing w:before="0" w:after="0" w:line="360" w:lineRule="auto"/>
        <w:jc w:val="both"/>
      </w:pPr>
      <w:r>
        <w:rPr>
          <w:rFonts w:ascii="Times New Roman" w:hAnsi="Times New Roman" w:eastAsia="宋体"/>
          <w:b/>
          <w:color w:val="000000"/>
          <w:sz w:val="24"/>
        </w:rPr>
        <w:t>放疗：</w:t>
      </w:r>
    </w:p>
    <w:p w14:paraId="60F2DAD5">
      <w:pPr>
        <w:pStyle w:val="16"/>
        <w:spacing w:before="0" w:after="0" w:line="360" w:lineRule="auto"/>
      </w:pPr>
      <w:r>
        <w:rPr>
          <w:rFonts w:ascii="Times New Roman" w:hAnsi="Times New Roman" w:eastAsia="宋体"/>
          <w:b w:val="0"/>
          <w:color w:val="000000"/>
          <w:sz w:val="24"/>
        </w:rPr>
        <w:t>三维适形放疗/调强放疗。</w:t>
      </w:r>
    </w:p>
    <w:p w14:paraId="5845F84E">
      <w:pPr>
        <w:pStyle w:val="16"/>
        <w:spacing w:before="0" w:after="0" w:line="360" w:lineRule="auto"/>
      </w:pPr>
      <w:r>
        <w:rPr>
          <w:rFonts w:ascii="Times New Roman" w:hAnsi="Times New Roman" w:eastAsia="宋体"/>
          <w:b w:val="0"/>
          <w:color w:val="000000"/>
          <w:sz w:val="24"/>
        </w:rPr>
        <w:t>放疗剂量：DT 45—50.4Gy，评估疗效后决定手术或继续进行全身治疗。</w:t>
      </w:r>
    </w:p>
    <w:p w14:paraId="21EA8E00">
      <w:pPr>
        <w:pStyle w:val="16"/>
        <w:spacing w:before="0" w:after="0" w:line="360" w:lineRule="auto"/>
      </w:pPr>
      <w:r>
        <w:rPr>
          <w:rFonts w:ascii="Times New Roman" w:hAnsi="Times New Roman" w:eastAsia="宋体"/>
          <w:b w:val="0"/>
          <w:color w:val="000000"/>
          <w:sz w:val="24"/>
        </w:rPr>
        <w:t>对于预期不能切除的患者，根治性放疗剂量：DT 50—60Gy。</w:t>
      </w:r>
    </w:p>
    <w:p w14:paraId="3839286D">
      <w:pPr>
        <w:pStyle w:val="16"/>
        <w:spacing w:before="0" w:after="0" w:line="360" w:lineRule="auto"/>
      </w:pPr>
      <w:r>
        <w:rPr>
          <w:rFonts w:ascii="Times New Roman" w:hAnsi="Times New Roman" w:eastAsia="宋体"/>
          <w:b w:val="0"/>
          <w:color w:val="000000"/>
          <w:sz w:val="24"/>
        </w:rPr>
        <w:t>姑息性放疗剂量：DT 30—40Gy/10—20次。</w:t>
      </w:r>
    </w:p>
    <w:p w14:paraId="0F0B1D59">
      <w:pPr>
        <w:pStyle w:val="5"/>
        <w:keepNext/>
        <w:spacing w:before="180" w:after="80" w:line="360" w:lineRule="auto"/>
      </w:pPr>
      <w:r>
        <w:rPr>
          <w:rFonts w:ascii="Times New Roman" w:hAnsi="Times New Roman" w:eastAsia="黑体"/>
          <w:b/>
          <w:color w:val="000000"/>
          <w:sz w:val="24"/>
        </w:rPr>
        <w:t>4. 晚期转移性胃癌</w:t>
      </w:r>
    </w:p>
    <w:p w14:paraId="2F266A94">
      <w:pPr>
        <w:spacing w:before="0" w:after="0" w:line="360" w:lineRule="auto"/>
        <w:jc w:val="both"/>
      </w:pPr>
      <w:r>
        <w:rPr>
          <w:rFonts w:ascii="Times New Roman" w:hAnsi="Times New Roman" w:eastAsia="宋体"/>
          <w:b/>
          <w:color w:val="000000"/>
          <w:sz w:val="24"/>
        </w:rPr>
        <w:t>一线治疗：</w:t>
      </w:r>
    </w:p>
    <w:p w14:paraId="3A71562D">
      <w:pPr>
        <w:spacing w:before="0" w:after="0" w:line="360" w:lineRule="auto"/>
        <w:jc w:val="both"/>
      </w:pPr>
      <w:r>
        <w:rPr>
          <w:rFonts w:ascii="Times New Roman" w:hAnsi="Times New Roman" w:eastAsia="宋体"/>
          <w:b/>
          <w:color w:val="000000"/>
          <w:sz w:val="24"/>
        </w:rPr>
        <w:t>HER2高表达（IHC 3+或2+且FISH+）：</w:t>
      </w:r>
    </w:p>
    <w:p w14:paraId="3C942FC3">
      <w:pPr>
        <w:spacing w:before="0" w:after="0" w:line="360" w:lineRule="auto"/>
        <w:jc w:val="both"/>
      </w:pPr>
      <w:r>
        <w:rPr>
          <w:rFonts w:ascii="Times New Roman" w:hAnsi="Times New Roman" w:eastAsia="宋体"/>
          <w:b/>
          <w:color w:val="000000"/>
          <w:sz w:val="24"/>
        </w:rPr>
        <w:t>Ⅰ级推荐：</w:t>
      </w:r>
    </w:p>
    <w:p w14:paraId="09BAF9E0">
      <w:pPr>
        <w:pStyle w:val="16"/>
        <w:spacing w:before="0" w:after="0" w:line="360" w:lineRule="auto"/>
      </w:pPr>
      <w:r>
        <w:rPr>
          <w:rFonts w:ascii="Times New Roman" w:hAnsi="Times New Roman" w:eastAsia="宋体"/>
          <w:b w:val="0"/>
          <w:color w:val="000000"/>
          <w:sz w:val="24"/>
        </w:rPr>
        <w:t>PD-L1 CPS≥1：帕博利珠单抗+曲妥珠单抗+XELOX/FP（1A类）。</w:t>
      </w:r>
    </w:p>
    <w:p w14:paraId="6C024CCB">
      <w:pPr>
        <w:pStyle w:val="16"/>
        <w:spacing w:before="0" w:after="0" w:line="360" w:lineRule="auto"/>
      </w:pPr>
      <w:r>
        <w:rPr>
          <w:rFonts w:ascii="Times New Roman" w:hAnsi="Times New Roman" w:eastAsia="宋体"/>
          <w:b w:val="0"/>
          <w:color w:val="000000"/>
          <w:sz w:val="24"/>
        </w:rPr>
        <w:t>替雷利珠单抗+泽尼达妥单抗+XELOX/FP（1A类）。</w:t>
      </w:r>
    </w:p>
    <w:p w14:paraId="64C1C918">
      <w:pPr>
        <w:pStyle w:val="16"/>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：曲妥珠单抗+其他一线化疗方案（含蒽环类药物方案除外）（3类）。</w:t>
      </w:r>
    </w:p>
    <w:p w14:paraId="265F2629">
      <w:pPr>
        <w:spacing w:before="0" w:after="0" w:line="360" w:lineRule="auto"/>
        <w:jc w:val="both"/>
      </w:pPr>
      <w:r>
        <w:rPr>
          <w:rFonts w:ascii="Times New Roman" w:hAnsi="Times New Roman" w:eastAsia="宋体"/>
          <w:b/>
          <w:color w:val="000000"/>
          <w:sz w:val="24"/>
        </w:rPr>
        <w:t>HER2中低或不表达：</w:t>
      </w:r>
    </w:p>
    <w:p w14:paraId="48B9665C">
      <w:pPr>
        <w:spacing w:before="0" w:after="0" w:line="360" w:lineRule="auto"/>
        <w:jc w:val="both"/>
      </w:pPr>
      <w:r>
        <w:rPr>
          <w:rFonts w:ascii="Times New Roman" w:hAnsi="Times New Roman" w:eastAsia="宋体"/>
          <w:b/>
          <w:color w:val="000000"/>
          <w:sz w:val="24"/>
        </w:rPr>
        <w:t>Ⅰ级推荐：</w:t>
      </w:r>
    </w:p>
    <w:p w14:paraId="373169FD">
      <w:pPr>
        <w:pStyle w:val="16"/>
        <w:spacing w:before="0" w:after="0" w:line="360" w:lineRule="auto"/>
      </w:pPr>
      <w:r>
        <w:rPr>
          <w:rFonts w:ascii="Times New Roman" w:hAnsi="Times New Roman" w:eastAsia="宋体"/>
          <w:b w:val="0"/>
          <w:color w:val="000000"/>
          <w:sz w:val="24"/>
        </w:rPr>
        <w:t>PD-L1 CPS≥5：纳武利尤单抗+FOLFOX/XELOX（1A类）；信迪利单抗+XELOX（1A类）；帕博利珠单抗+XELOX/FP（1A类）；舒格利单抗+XELOX（1A类）。</w:t>
      </w:r>
    </w:p>
    <w:p w14:paraId="7841B97E">
      <w:pPr>
        <w:pStyle w:val="16"/>
        <w:spacing w:before="0" w:after="0" w:line="360" w:lineRule="auto"/>
      </w:pPr>
      <w:r>
        <w:rPr>
          <w:rFonts w:ascii="Times New Roman" w:hAnsi="Times New Roman" w:eastAsia="宋体"/>
          <w:b w:val="0"/>
          <w:color w:val="000000"/>
          <w:sz w:val="24"/>
        </w:rPr>
        <w:t>PD-L1 TAP≥5%：替雷利珠单抗+XELOX/FP（1A类）。</w:t>
      </w:r>
    </w:p>
    <w:p w14:paraId="38B62142">
      <w:pPr>
        <w:pStyle w:val="16"/>
        <w:spacing w:before="0" w:after="0" w:line="360" w:lineRule="auto"/>
      </w:pPr>
      <w:r>
        <w:rPr>
          <w:rFonts w:ascii="Times New Roman" w:hAnsi="Times New Roman" w:eastAsia="宋体"/>
          <w:b w:val="0"/>
          <w:color w:val="000000"/>
          <w:sz w:val="24"/>
        </w:rPr>
        <w:t>PD-L1 CPS≥1：瑞拉芙普α注射液+XELOX（1A类）。</w:t>
      </w:r>
    </w:p>
    <w:p w14:paraId="04093EDC">
      <w:pPr>
        <w:pStyle w:val="16"/>
        <w:spacing w:before="0" w:after="0" w:line="360" w:lineRule="auto"/>
      </w:pPr>
      <w:r>
        <w:rPr>
          <w:rFonts w:ascii="Times New Roman" w:hAnsi="Times New Roman" w:eastAsia="宋体"/>
          <w:b w:val="0"/>
          <w:color w:val="000000"/>
          <w:sz w:val="24"/>
        </w:rPr>
        <w:t>无论PD-L1表达状态：卡度尼利单抗+XELOX（1A类）。</w:t>
      </w:r>
    </w:p>
    <w:p w14:paraId="05EA67AD">
      <w:pPr>
        <w:pStyle w:val="16"/>
        <w:spacing w:before="0" w:after="0" w:line="360" w:lineRule="auto"/>
      </w:pPr>
      <w:r>
        <w:rPr>
          <w:rFonts w:ascii="Times New Roman" w:hAnsi="Times New Roman" w:eastAsia="宋体"/>
          <w:b w:val="0"/>
          <w:color w:val="000000"/>
          <w:sz w:val="24"/>
        </w:rPr>
        <w:t>Claudin 18.2表达（IHC2或3+，≥75%）：佐妥昔单抗+FOLFOX/XELOX（1A类）。</w:t>
      </w:r>
    </w:p>
    <w:p w14:paraId="0896125C">
      <w:pPr>
        <w:pStyle w:val="16"/>
        <w:spacing w:before="0" w:after="0" w:line="360" w:lineRule="auto"/>
      </w:pPr>
      <w:r>
        <w:rPr>
          <w:rFonts w:ascii="Times New Roman" w:hAnsi="Times New Roman" w:eastAsia="宋体"/>
          <w:b w:val="0"/>
          <w:color w:val="000000"/>
          <w:sz w:val="24"/>
        </w:rPr>
        <w:t>奥沙利铂/顺铂+氟尿嘧啶类（1A类）。</w:t>
      </w:r>
    </w:p>
    <w:p w14:paraId="4980D239">
      <w:pPr>
        <w:pStyle w:val="16"/>
        <w:spacing w:before="0" w:after="0" w:line="360" w:lineRule="auto"/>
      </w:pPr>
      <w:r>
        <w:rPr>
          <w:rFonts w:ascii="Times New Roman" w:hAnsi="Times New Roman" w:eastAsia="宋体"/>
          <w:b w:val="0"/>
          <w:color w:val="000000"/>
          <w:sz w:val="24"/>
        </w:rPr>
        <w:t>氟尿嘧啶类+紫杉类（2A类）。</w:t>
      </w:r>
    </w:p>
    <w:p w14:paraId="2C6C4EFD">
      <w:pPr>
        <w:spacing w:before="0" w:after="0" w:line="360" w:lineRule="auto"/>
        <w:jc w:val="both"/>
      </w:pPr>
      <w:r>
        <w:rPr>
          <w:rFonts w:ascii="Times New Roman" w:hAnsi="Times New Roman" w:eastAsia="宋体"/>
          <w:b/>
          <w:color w:val="000000"/>
          <w:sz w:val="24"/>
        </w:rPr>
        <w:t>Ⅱ级推荐：</w:t>
      </w:r>
    </w:p>
    <w:p w14:paraId="64E65F4E">
      <w:pPr>
        <w:pStyle w:val="16"/>
        <w:spacing w:before="0" w:after="0" w:line="360" w:lineRule="auto"/>
      </w:pPr>
      <w:r>
        <w:rPr>
          <w:rFonts w:ascii="Times New Roman" w:hAnsi="Times New Roman" w:eastAsia="宋体"/>
          <w:b w:val="0"/>
          <w:color w:val="000000"/>
          <w:sz w:val="24"/>
        </w:rPr>
        <w:t>PD-L1 CPS&lt;5分或检测不可及：纳武利尤单抗+FOLFOX/XELOX（1B类）；信迪利单抗+XELOX（1B类）；帕博利珠单抗+XELOX/FP（1B类）。</w:t>
      </w:r>
    </w:p>
    <w:p w14:paraId="1D9C0E09">
      <w:pPr>
        <w:pStyle w:val="16"/>
        <w:spacing w:before="0" w:after="0" w:line="360" w:lineRule="auto"/>
      </w:pPr>
      <w:r>
        <w:rPr>
          <w:rFonts w:ascii="Times New Roman" w:hAnsi="Times New Roman" w:eastAsia="宋体"/>
          <w:b w:val="0"/>
          <w:color w:val="000000"/>
          <w:sz w:val="24"/>
        </w:rPr>
        <w:t>纳武利尤单抗+SOX（2A类）。</w:t>
      </w:r>
    </w:p>
    <w:p w14:paraId="2B21CC0C">
      <w:pPr>
        <w:pStyle w:val="16"/>
        <w:spacing w:before="0" w:after="0" w:line="360" w:lineRule="auto"/>
      </w:pPr>
      <w:r>
        <w:rPr>
          <w:rFonts w:ascii="Times New Roman" w:hAnsi="Times New Roman" w:eastAsia="宋体"/>
          <w:b w:val="0"/>
          <w:color w:val="000000"/>
          <w:sz w:val="24"/>
        </w:rPr>
        <w:t>三药联合方案DCF及mDCF（1B类）。</w:t>
      </w:r>
    </w:p>
    <w:p w14:paraId="1735CFAB">
      <w:pPr>
        <w:spacing w:before="0" w:after="0" w:line="360" w:lineRule="auto"/>
        <w:jc w:val="both"/>
      </w:pPr>
      <w:r>
        <w:rPr>
          <w:rFonts w:ascii="Times New Roman" w:hAnsi="Times New Roman" w:eastAsia="宋体"/>
          <w:b/>
          <w:color w:val="000000"/>
          <w:sz w:val="24"/>
        </w:rPr>
        <w:t>Ⅲ级推荐：</w:t>
      </w:r>
    </w:p>
    <w:p w14:paraId="6D8133E2">
      <w:pPr>
        <w:pStyle w:val="16"/>
        <w:spacing w:before="0" w:after="0" w:line="360" w:lineRule="auto"/>
      </w:pPr>
      <w:r>
        <w:rPr>
          <w:rFonts w:ascii="Times New Roman" w:hAnsi="Times New Roman" w:eastAsia="宋体"/>
          <w:b w:val="0"/>
          <w:color w:val="000000"/>
          <w:sz w:val="24"/>
        </w:rPr>
        <w:t>PD-L1 CPS≥10：帕博利珠单抗单药（2B类）。</w:t>
      </w:r>
    </w:p>
    <w:p w14:paraId="6B96AD4B">
      <w:pPr>
        <w:spacing w:before="0" w:after="0" w:line="360" w:lineRule="auto"/>
        <w:jc w:val="both"/>
      </w:pPr>
      <w:r>
        <w:rPr>
          <w:rFonts w:ascii="Times New Roman" w:hAnsi="Times New Roman" w:eastAsia="宋体"/>
          <w:b/>
          <w:color w:val="000000"/>
          <w:sz w:val="24"/>
        </w:rPr>
        <w:t>dMMR/MSI-H，无论HER2及Claudin 18.2状态：</w:t>
      </w:r>
    </w:p>
    <w:p w14:paraId="3C1BED88">
      <w:pPr>
        <w:spacing w:before="0" w:after="0" w:line="360" w:lineRule="auto"/>
        <w:jc w:val="both"/>
      </w:pPr>
      <w:r>
        <w:rPr>
          <w:rFonts w:ascii="Times New Roman" w:hAnsi="Times New Roman" w:eastAsia="宋体"/>
          <w:b/>
          <w:color w:val="000000"/>
          <w:sz w:val="24"/>
        </w:rPr>
        <w:t>Ⅰ级推荐：</w:t>
      </w:r>
    </w:p>
    <w:p w14:paraId="7442BEB7">
      <w:pPr>
        <w:pStyle w:val="16"/>
        <w:spacing w:before="0" w:after="0" w:line="360" w:lineRule="auto"/>
      </w:pPr>
      <w:r>
        <w:rPr>
          <w:rFonts w:ascii="Times New Roman" w:hAnsi="Times New Roman" w:eastAsia="宋体"/>
          <w:b w:val="0"/>
          <w:color w:val="000000"/>
          <w:sz w:val="24"/>
        </w:rPr>
        <w:t>纳武利尤单抗联合伊匹木单抗（2B类）；帕博利珠单抗（2B类）。</w:t>
      </w:r>
    </w:p>
    <w:p w14:paraId="4D92D9A9">
      <w:pPr>
        <w:spacing w:before="0" w:after="0" w:line="360" w:lineRule="auto"/>
        <w:jc w:val="both"/>
      </w:pPr>
      <w:r>
        <w:rPr>
          <w:rFonts w:ascii="Times New Roman" w:hAnsi="Times New Roman" w:eastAsia="宋体"/>
          <w:b/>
          <w:color w:val="000000"/>
          <w:sz w:val="24"/>
        </w:rPr>
        <w:t>Ⅱ级推荐：</w:t>
      </w:r>
    </w:p>
    <w:p w14:paraId="42852770">
      <w:pPr>
        <w:pStyle w:val="16"/>
        <w:spacing w:before="0" w:after="0" w:line="360" w:lineRule="auto"/>
      </w:pPr>
      <w:r>
        <w:rPr>
          <w:rFonts w:ascii="Times New Roman" w:hAnsi="Times New Roman" w:eastAsia="宋体"/>
          <w:b w:val="0"/>
          <w:color w:val="000000"/>
          <w:sz w:val="24"/>
        </w:rPr>
        <w:t>纳武利尤单抗+FOLFOX/XELOX（2B类）；帕博利珠单抗联合顺铂+氟尿嘧啶（2B类）。</w:t>
      </w:r>
    </w:p>
    <w:p w14:paraId="7A9D9A37">
      <w:pPr>
        <w:spacing w:before="0" w:after="0" w:line="360" w:lineRule="auto"/>
        <w:jc w:val="both"/>
      </w:pPr>
      <w:r>
        <w:rPr>
          <w:rFonts w:ascii="Times New Roman" w:hAnsi="Times New Roman" w:eastAsia="宋体"/>
          <w:b/>
          <w:color w:val="000000"/>
          <w:sz w:val="24"/>
        </w:rPr>
        <w:t>Ⅲ级推荐：</w:t>
      </w:r>
    </w:p>
    <w:p w14:paraId="1B8464BD">
      <w:pPr>
        <w:pStyle w:val="16"/>
        <w:spacing w:before="0" w:after="0" w:line="360" w:lineRule="auto"/>
      </w:pPr>
      <w:r>
        <w:rPr>
          <w:rFonts w:ascii="Times New Roman" w:hAnsi="Times New Roman" w:eastAsia="宋体"/>
          <w:b w:val="0"/>
          <w:color w:val="000000"/>
          <w:sz w:val="24"/>
        </w:rPr>
        <w:t>其他免疫检查点抑制剂（3类）；单纯化疗（3类）。</w:t>
      </w:r>
    </w:p>
    <w:p w14:paraId="2DADD9A0">
      <w:pPr>
        <w:spacing w:before="0" w:after="0" w:line="360" w:lineRule="auto"/>
        <w:jc w:val="both"/>
      </w:pPr>
      <w:r>
        <w:rPr>
          <w:rFonts w:ascii="Times New Roman" w:hAnsi="Times New Roman" w:eastAsia="宋体"/>
          <w:b/>
          <w:color w:val="000000"/>
          <w:sz w:val="24"/>
        </w:rPr>
        <w:t>产AFP胃癌：</w:t>
      </w:r>
    </w:p>
    <w:p w14:paraId="5B98D3E7">
      <w:pPr>
        <w:pStyle w:val="16"/>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：卡瑞利珠单抗/阿帕替尼+SOX（2B类）。</w:t>
      </w:r>
    </w:p>
    <w:p w14:paraId="59D73B36">
      <w:pPr>
        <w:spacing w:before="0" w:after="0" w:line="360" w:lineRule="auto"/>
        <w:jc w:val="both"/>
      </w:pPr>
      <w:r>
        <w:rPr>
          <w:rFonts w:ascii="Times New Roman" w:hAnsi="Times New Roman" w:eastAsia="宋体"/>
          <w:b/>
          <w:color w:val="000000"/>
          <w:sz w:val="24"/>
        </w:rPr>
        <w:t>腹膜转移：</w:t>
      </w:r>
    </w:p>
    <w:p w14:paraId="2067D30B">
      <w:pPr>
        <w:pStyle w:val="16"/>
        <w:spacing w:before="0" w:after="0" w:line="360" w:lineRule="auto"/>
      </w:pPr>
      <w:r>
        <w:rPr>
          <w:rFonts w:ascii="Times New Roman" w:hAnsi="Times New Roman" w:eastAsia="宋体"/>
          <w:b/>
          <w:color w:val="000000"/>
          <w:sz w:val="24"/>
        </w:rPr>
        <w:t>Ⅰ级推荐</w:t>
      </w:r>
      <w:r>
        <w:rPr>
          <w:rFonts w:ascii="Times New Roman" w:hAnsi="Times New Roman" w:eastAsia="宋体"/>
          <w:b w:val="0"/>
          <w:color w:val="000000"/>
          <w:sz w:val="24"/>
        </w:rPr>
        <w:t>：参照晚期胃癌治疗（1A类）。</w:t>
      </w:r>
    </w:p>
    <w:p w14:paraId="3238066C">
      <w:pPr>
        <w:pStyle w:val="16"/>
        <w:spacing w:before="0" w:after="0" w:line="360" w:lineRule="auto"/>
      </w:pPr>
      <w:r>
        <w:rPr>
          <w:rFonts w:ascii="Times New Roman" w:hAnsi="Times New Roman" w:eastAsia="宋体"/>
          <w:b/>
          <w:color w:val="000000"/>
          <w:sz w:val="24"/>
        </w:rPr>
        <w:t>Ⅱ级推荐</w:t>
      </w:r>
      <w:r>
        <w:rPr>
          <w:rFonts w:ascii="Times New Roman" w:hAnsi="Times New Roman" w:eastAsia="宋体"/>
          <w:b w:val="0"/>
          <w:color w:val="000000"/>
          <w:sz w:val="24"/>
        </w:rPr>
        <w:t>：CY1P0：转化治疗后转为CY0者可行根治性手术（2B类）。</w:t>
      </w:r>
    </w:p>
    <w:p w14:paraId="69BAB1E6">
      <w:pPr>
        <w:spacing w:before="0" w:after="0" w:line="360" w:lineRule="auto"/>
        <w:jc w:val="both"/>
      </w:pPr>
      <w:r>
        <w:rPr>
          <w:rFonts w:ascii="Times New Roman" w:hAnsi="Times New Roman" w:eastAsia="宋体"/>
          <w:b/>
          <w:color w:val="000000"/>
          <w:sz w:val="24"/>
        </w:rPr>
        <w:t>二线治疗：</w:t>
      </w:r>
    </w:p>
    <w:p w14:paraId="4D5D160B">
      <w:pPr>
        <w:spacing w:before="0" w:after="0" w:line="360" w:lineRule="auto"/>
        <w:jc w:val="both"/>
      </w:pPr>
      <w:r>
        <w:rPr>
          <w:rFonts w:ascii="Times New Roman" w:hAnsi="Times New Roman" w:eastAsia="宋体"/>
          <w:b/>
          <w:color w:val="000000"/>
          <w:sz w:val="24"/>
        </w:rPr>
        <w:t>HER2高表达（IHC 3+或2+且FISH+）：</w:t>
      </w:r>
    </w:p>
    <w:p w14:paraId="22C1A872">
      <w:pPr>
        <w:spacing w:before="0" w:after="0" w:line="360" w:lineRule="auto"/>
        <w:jc w:val="both"/>
      </w:pPr>
      <w:r>
        <w:rPr>
          <w:rFonts w:ascii="Times New Roman" w:hAnsi="Times New Roman" w:eastAsia="宋体"/>
          <w:b/>
          <w:color w:val="000000"/>
          <w:sz w:val="24"/>
        </w:rPr>
        <w:t>Ⅰ级推荐：</w:t>
      </w:r>
    </w:p>
    <w:p w14:paraId="566603E6">
      <w:pPr>
        <w:pStyle w:val="16"/>
        <w:spacing w:before="0" w:after="0" w:line="360" w:lineRule="auto"/>
      </w:pPr>
      <w:r>
        <w:rPr>
          <w:rFonts w:ascii="Times New Roman" w:hAnsi="Times New Roman" w:eastAsia="宋体"/>
          <w:b w:val="0"/>
          <w:color w:val="000000"/>
          <w:sz w:val="24"/>
        </w:rPr>
        <w:t>既往接受过曲妥珠单抗，德曲妥珠单抗。</w:t>
      </w:r>
    </w:p>
    <w:p w14:paraId="4D571068">
      <w:pPr>
        <w:spacing w:before="0" w:after="0" w:line="360" w:lineRule="auto"/>
        <w:jc w:val="both"/>
      </w:pPr>
      <w:r>
        <w:rPr>
          <w:rFonts w:ascii="Times New Roman" w:hAnsi="Times New Roman" w:eastAsia="宋体"/>
          <w:b/>
          <w:color w:val="000000"/>
          <w:sz w:val="24"/>
        </w:rPr>
        <w:t>Ⅱ级推荐：</w:t>
      </w:r>
    </w:p>
    <w:p w14:paraId="667BB381">
      <w:pPr>
        <w:pStyle w:val="16"/>
        <w:spacing w:before="0" w:after="0" w:line="360" w:lineRule="auto"/>
      </w:pPr>
      <w:r>
        <w:rPr>
          <w:rFonts w:ascii="Times New Roman" w:hAnsi="Times New Roman" w:eastAsia="宋体"/>
          <w:b w:val="0"/>
          <w:color w:val="000000"/>
          <w:sz w:val="24"/>
        </w:rPr>
        <w:t>既往接受过曲妥珠单抗，紫杉醇+雷莫西尤单抗（1B类）；单药化疗（紫杉类/伊立替康）（1B类）。</w:t>
      </w:r>
    </w:p>
    <w:p w14:paraId="12CDE94D">
      <w:pPr>
        <w:spacing w:before="0" w:after="0" w:line="360" w:lineRule="auto"/>
        <w:jc w:val="both"/>
      </w:pPr>
      <w:r>
        <w:rPr>
          <w:rFonts w:ascii="Times New Roman" w:hAnsi="Times New Roman" w:eastAsia="宋体"/>
          <w:b/>
          <w:color w:val="000000"/>
          <w:sz w:val="24"/>
        </w:rPr>
        <w:t>Ⅲ级推荐：</w:t>
      </w:r>
    </w:p>
    <w:p w14:paraId="26AE57B9">
      <w:pPr>
        <w:pStyle w:val="16"/>
        <w:spacing w:before="0" w:after="0" w:line="360" w:lineRule="auto"/>
      </w:pPr>
      <w:r>
        <w:rPr>
          <w:rFonts w:ascii="Times New Roman" w:hAnsi="Times New Roman" w:eastAsia="宋体"/>
          <w:b w:val="0"/>
          <w:color w:val="000000"/>
          <w:sz w:val="24"/>
        </w:rPr>
        <w:t>既往未接受曲妥珠单抗且铂类治疗失败，曲妥珠单抗+紫杉类（2A类）；既往未接受曲妥珠单抗，曲妥珠单抗+紫杉类/蒽环类之外的其他二线化疗（3类）；既往接受过曲妥珠单抗，根据既往用药情况推荐化疗（3类）。</w:t>
      </w:r>
    </w:p>
    <w:p w14:paraId="487F68AC">
      <w:pPr>
        <w:spacing w:before="0" w:after="0" w:line="360" w:lineRule="auto"/>
        <w:jc w:val="both"/>
      </w:pPr>
      <w:r>
        <w:rPr>
          <w:rFonts w:ascii="Times New Roman" w:hAnsi="Times New Roman" w:eastAsia="宋体"/>
          <w:b/>
          <w:color w:val="000000"/>
          <w:sz w:val="24"/>
        </w:rPr>
        <w:t>HER2中/低/不表达：</w:t>
      </w:r>
    </w:p>
    <w:p w14:paraId="1FF55EDD">
      <w:pPr>
        <w:spacing w:before="0" w:after="0" w:line="360" w:lineRule="auto"/>
        <w:jc w:val="both"/>
      </w:pPr>
      <w:r>
        <w:rPr>
          <w:rFonts w:ascii="Times New Roman" w:hAnsi="Times New Roman" w:eastAsia="宋体"/>
          <w:b/>
          <w:color w:val="000000"/>
          <w:sz w:val="24"/>
        </w:rPr>
        <w:t>Ⅰ级推荐：</w:t>
      </w:r>
    </w:p>
    <w:p w14:paraId="7E947920">
      <w:pPr>
        <w:pStyle w:val="16"/>
        <w:spacing w:before="0" w:after="0" w:line="360" w:lineRule="auto"/>
      </w:pPr>
      <w:r>
        <w:rPr>
          <w:rFonts w:ascii="Times New Roman" w:hAnsi="Times New Roman" w:eastAsia="宋体"/>
          <w:b w:val="0"/>
          <w:color w:val="000000"/>
          <w:sz w:val="24"/>
        </w:rPr>
        <w:t>紫杉醇+雷莫西尤单抗（1A类）；单药化疗（紫杉类/伊立替康）（1A类）。</w:t>
      </w:r>
    </w:p>
    <w:p w14:paraId="215C9ADF">
      <w:pPr>
        <w:spacing w:before="0" w:after="0" w:line="360" w:lineRule="auto"/>
        <w:jc w:val="both"/>
      </w:pPr>
      <w:r>
        <w:rPr>
          <w:rFonts w:ascii="Times New Roman" w:hAnsi="Times New Roman" w:eastAsia="宋体"/>
          <w:b/>
          <w:color w:val="000000"/>
          <w:sz w:val="24"/>
        </w:rPr>
        <w:t>Ⅱ级推荐：</w:t>
      </w:r>
    </w:p>
    <w:p w14:paraId="09DBE326">
      <w:pPr>
        <w:pStyle w:val="16"/>
        <w:spacing w:before="0" w:after="0" w:line="360" w:lineRule="auto"/>
      </w:pPr>
      <w:r>
        <w:rPr>
          <w:rFonts w:ascii="Times New Roman" w:hAnsi="Times New Roman" w:eastAsia="宋体"/>
          <w:b w:val="0"/>
          <w:color w:val="000000"/>
          <w:sz w:val="24"/>
        </w:rPr>
        <w:t>根据既往用药情况推荐两药化疗（2B类）；紫杉醇+呋喹替尼（1B类）。</w:t>
      </w:r>
    </w:p>
    <w:p w14:paraId="2D6C38B4">
      <w:pPr>
        <w:spacing w:before="0" w:after="0" w:line="360" w:lineRule="auto"/>
        <w:jc w:val="both"/>
      </w:pPr>
      <w:r>
        <w:rPr>
          <w:rFonts w:ascii="Times New Roman" w:hAnsi="Times New Roman" w:eastAsia="宋体"/>
          <w:b/>
          <w:color w:val="000000"/>
          <w:sz w:val="24"/>
        </w:rPr>
        <w:t>Ⅲ级推荐：</w:t>
      </w:r>
    </w:p>
    <w:p w14:paraId="25E32C9F">
      <w:pPr>
        <w:pStyle w:val="16"/>
        <w:spacing w:before="0" w:after="0" w:line="360" w:lineRule="auto"/>
      </w:pPr>
      <w:r>
        <w:rPr>
          <w:rFonts w:ascii="Times New Roman" w:hAnsi="Times New Roman" w:eastAsia="宋体"/>
          <w:b w:val="0"/>
          <w:color w:val="000000"/>
          <w:sz w:val="24"/>
        </w:rPr>
        <w:t>既往未经铂类治疗失败，顺铂或奥沙利铂为基础的化疗（3类）。</w:t>
      </w:r>
    </w:p>
    <w:p w14:paraId="11C85693">
      <w:pPr>
        <w:spacing w:before="0" w:after="0" w:line="360" w:lineRule="auto"/>
        <w:jc w:val="both"/>
      </w:pPr>
      <w:r>
        <w:rPr>
          <w:rFonts w:ascii="Times New Roman" w:hAnsi="Times New Roman" w:eastAsia="宋体"/>
          <w:b/>
          <w:color w:val="000000"/>
          <w:sz w:val="24"/>
        </w:rPr>
        <w:t>dMMR/MSI-H，无论HER2状态：</w:t>
      </w:r>
    </w:p>
    <w:p w14:paraId="7D46C783">
      <w:pPr>
        <w:spacing w:before="0" w:after="0" w:line="360" w:lineRule="auto"/>
        <w:jc w:val="both"/>
      </w:pPr>
      <w:r>
        <w:rPr>
          <w:rFonts w:ascii="Times New Roman" w:hAnsi="Times New Roman" w:eastAsia="宋体"/>
          <w:b/>
          <w:color w:val="000000"/>
          <w:sz w:val="24"/>
        </w:rPr>
        <w:t>Ⅰ级推荐：</w:t>
      </w:r>
    </w:p>
    <w:p w14:paraId="23C6D771">
      <w:pPr>
        <w:pStyle w:val="16"/>
        <w:spacing w:before="0" w:after="0" w:line="360" w:lineRule="auto"/>
      </w:pPr>
      <w:r>
        <w:rPr>
          <w:rFonts w:ascii="Times New Roman" w:hAnsi="Times New Roman" w:eastAsia="宋体"/>
          <w:b w:val="0"/>
          <w:color w:val="000000"/>
          <w:sz w:val="24"/>
        </w:rPr>
        <w:t>帕博利珠单抗（2A类）；恩沃利单抗（2A类）；替雷利珠单抗（2A类）；斯鲁利单抗（2A类）。</w:t>
      </w:r>
    </w:p>
    <w:p w14:paraId="10AB9AC7">
      <w:pPr>
        <w:spacing w:before="0" w:after="0" w:line="360" w:lineRule="auto"/>
        <w:jc w:val="both"/>
      </w:pPr>
      <w:r>
        <w:rPr>
          <w:rFonts w:ascii="Times New Roman" w:hAnsi="Times New Roman" w:eastAsia="宋体"/>
          <w:b/>
          <w:color w:val="000000"/>
          <w:sz w:val="24"/>
        </w:rPr>
        <w:t>Ⅲ级推荐：</w:t>
      </w:r>
    </w:p>
    <w:p w14:paraId="2738F46F">
      <w:pPr>
        <w:pStyle w:val="16"/>
        <w:spacing w:before="0" w:after="0" w:line="360" w:lineRule="auto"/>
      </w:pPr>
      <w:r>
        <w:rPr>
          <w:rFonts w:ascii="Times New Roman" w:hAnsi="Times New Roman" w:eastAsia="宋体"/>
          <w:b w:val="0"/>
          <w:color w:val="000000"/>
          <w:sz w:val="24"/>
        </w:rPr>
        <w:t>如既往用过PD-1/PD-L1单抗，根据HER2状态选择二线治疗（3类）。</w:t>
      </w:r>
    </w:p>
    <w:p w14:paraId="7FC5DE9D">
      <w:pPr>
        <w:spacing w:before="0" w:after="0" w:line="360" w:lineRule="auto"/>
        <w:jc w:val="both"/>
      </w:pPr>
      <w:r>
        <w:rPr>
          <w:rFonts w:ascii="Times New Roman" w:hAnsi="Times New Roman" w:eastAsia="宋体"/>
          <w:b/>
          <w:color w:val="000000"/>
          <w:sz w:val="24"/>
        </w:rPr>
        <w:t>三线及三线以上治疗：</w:t>
      </w:r>
    </w:p>
    <w:p w14:paraId="481A61C0">
      <w:pPr>
        <w:pStyle w:val="16"/>
        <w:spacing w:before="0" w:after="0" w:line="360" w:lineRule="auto"/>
      </w:pPr>
      <w:r>
        <w:rPr>
          <w:rFonts w:ascii="Times New Roman" w:hAnsi="Times New Roman" w:eastAsia="宋体"/>
          <w:b/>
          <w:color w:val="000000"/>
          <w:sz w:val="24"/>
        </w:rPr>
        <w:t>HER2高表达</w:t>
      </w:r>
      <w:r>
        <w:rPr>
          <w:rFonts w:ascii="Times New Roman" w:hAnsi="Times New Roman" w:eastAsia="宋体"/>
          <w:b w:val="0"/>
          <w:color w:val="000000"/>
          <w:sz w:val="24"/>
        </w:rPr>
        <w:t>：德曲妥珠单抗（1B类）；维迪西妥单抗（2A类）；根据既往用药情况，参照二线推荐方案合理选择单药化疗（3类）。</w:t>
      </w:r>
    </w:p>
    <w:p w14:paraId="55C99AD3">
      <w:pPr>
        <w:pStyle w:val="16"/>
        <w:spacing w:before="0" w:after="0" w:line="360" w:lineRule="auto"/>
      </w:pPr>
      <w:r>
        <w:rPr>
          <w:rFonts w:ascii="Times New Roman" w:hAnsi="Times New Roman" w:eastAsia="宋体"/>
          <w:b/>
          <w:color w:val="000000"/>
          <w:sz w:val="24"/>
        </w:rPr>
        <w:t>HER2中表达</w:t>
      </w:r>
      <w:r>
        <w:rPr>
          <w:rFonts w:ascii="Times New Roman" w:hAnsi="Times New Roman" w:eastAsia="宋体"/>
          <w:b w:val="0"/>
          <w:color w:val="000000"/>
          <w:sz w:val="24"/>
        </w:rPr>
        <w:t>：维迪西妥单抗（2A类）。</w:t>
      </w:r>
    </w:p>
    <w:p w14:paraId="02E0CB00">
      <w:pPr>
        <w:pStyle w:val="16"/>
        <w:spacing w:before="0" w:after="0" w:line="360" w:lineRule="auto"/>
      </w:pPr>
      <w:r>
        <w:rPr>
          <w:rFonts w:ascii="Times New Roman" w:hAnsi="Times New Roman" w:eastAsia="宋体"/>
          <w:b/>
          <w:color w:val="000000"/>
          <w:sz w:val="24"/>
        </w:rPr>
        <w:t>HER2低/不表达</w:t>
      </w:r>
      <w:r>
        <w:rPr>
          <w:rFonts w:ascii="Times New Roman" w:hAnsi="Times New Roman" w:eastAsia="宋体"/>
          <w:b w:val="0"/>
          <w:color w:val="000000"/>
          <w:sz w:val="24"/>
        </w:rPr>
        <w:t>：阿帕替尼（1A类）；纳武利尤单抗单药（1A类）。</w:t>
      </w:r>
    </w:p>
    <w:p w14:paraId="6B528418">
      <w:pPr>
        <w:pStyle w:val="5"/>
        <w:keepNext/>
        <w:spacing w:before="180" w:after="80" w:line="360" w:lineRule="auto"/>
      </w:pPr>
      <w:r>
        <w:rPr>
          <w:rFonts w:ascii="Times New Roman" w:hAnsi="Times New Roman" w:eastAsia="黑体"/>
          <w:b/>
          <w:color w:val="000000"/>
          <w:sz w:val="24"/>
        </w:rPr>
        <w:t>5. 若本院不能处理</w:t>
      </w:r>
    </w:p>
    <w:p w14:paraId="0CBDE930">
      <w:pPr>
        <w:pStyle w:val="16"/>
        <w:spacing w:before="0" w:after="0" w:line="360" w:lineRule="auto"/>
      </w:pPr>
      <w:r>
        <w:rPr>
          <w:rFonts w:ascii="Times New Roman" w:hAnsi="Times New Roman" w:eastAsia="宋体"/>
          <w:b w:val="0"/>
          <w:color w:val="000000"/>
          <w:sz w:val="24"/>
        </w:rPr>
        <w:t>办理转院或转诊。</w:t>
      </w:r>
    </w:p>
    <w:p w14:paraId="2CF468CF">
      <w:pPr>
        <w:pStyle w:val="3"/>
        <w:keepNext/>
        <w:spacing w:before="280" w:after="120" w:line="360" w:lineRule="auto"/>
      </w:pPr>
      <w:bookmarkStart w:id="14" w:name="_LarkToc00015"/>
      <w:r>
        <w:rPr>
          <w:rFonts w:ascii="Times New Roman" w:hAnsi="Times New Roman" w:eastAsia="黑体"/>
          <w:b/>
          <w:color w:val="000000"/>
          <w:sz w:val="32"/>
        </w:rPr>
        <w:t>四、治疗实施与术后恢复</w:t>
      </w:r>
      <w:bookmarkEnd w:id="14"/>
    </w:p>
    <w:p w14:paraId="3C39B91D">
      <w:pPr>
        <w:pStyle w:val="4"/>
        <w:keepNext/>
        <w:spacing w:before="220" w:after="100" w:line="360" w:lineRule="auto"/>
      </w:pPr>
      <w:bookmarkStart w:id="15" w:name="_LarkToc00016"/>
      <w:r>
        <w:rPr>
          <w:rFonts w:ascii="Times New Roman" w:hAnsi="Times New Roman" w:eastAsia="黑体"/>
          <w:b/>
          <w:color w:val="000000"/>
          <w:sz w:val="28"/>
        </w:rPr>
        <w:t>（一）手术治疗</w:t>
      </w:r>
      <w:bookmarkEnd w:id="15"/>
    </w:p>
    <w:p w14:paraId="055DB331">
      <w:pPr>
        <w:pStyle w:val="16"/>
        <w:spacing w:before="0" w:after="0" w:line="360" w:lineRule="auto"/>
      </w:pPr>
      <w:r>
        <w:rPr>
          <w:rFonts w:ascii="Times New Roman" w:hAnsi="Times New Roman" w:eastAsia="宋体"/>
          <w:b w:val="0"/>
          <w:color w:val="000000"/>
          <w:sz w:val="24"/>
        </w:rPr>
        <w:t>根据肿瘤位置行远端胃大部切除、全胃切除等，联合区域淋巴结清扫。</w:t>
      </w:r>
    </w:p>
    <w:p w14:paraId="6DD3D765">
      <w:pPr>
        <w:pStyle w:val="16"/>
        <w:spacing w:before="0" w:after="0" w:line="360" w:lineRule="auto"/>
      </w:pPr>
      <w:r>
        <w:rPr>
          <w:rFonts w:ascii="Times New Roman" w:hAnsi="Times New Roman" w:eastAsia="宋体"/>
          <w:b w:val="0"/>
          <w:color w:val="000000"/>
          <w:sz w:val="24"/>
        </w:rPr>
        <w:t>优先考虑腹腔镜微创手术。</w:t>
      </w:r>
    </w:p>
    <w:p w14:paraId="5EC63FB7">
      <w:pPr>
        <w:pStyle w:val="16"/>
        <w:spacing w:before="0" w:after="0" w:line="360" w:lineRule="auto"/>
      </w:pPr>
      <w:r>
        <w:rPr>
          <w:rFonts w:ascii="Times New Roman" w:hAnsi="Times New Roman" w:eastAsia="宋体"/>
          <w:b w:val="0"/>
          <w:color w:val="000000"/>
          <w:sz w:val="24"/>
        </w:rPr>
        <w:t>对于适合接受远端胃大部分切除的Ⅰ—Ⅲ期胃癌患者，腹腔镜手术可以作为常规治疗选择。</w:t>
      </w:r>
    </w:p>
    <w:p w14:paraId="08E9EEAB">
      <w:pPr>
        <w:pStyle w:val="16"/>
        <w:spacing w:before="0" w:after="0" w:line="360" w:lineRule="auto"/>
      </w:pPr>
      <w:r>
        <w:rPr>
          <w:rFonts w:ascii="Times New Roman" w:hAnsi="Times New Roman" w:eastAsia="宋体"/>
          <w:b w:val="0"/>
          <w:color w:val="000000"/>
          <w:sz w:val="24"/>
        </w:rPr>
        <w:t>腹腔镜全胃切除应作为早期胃癌的临床探索在有经验的大型医疗中心开展。</w:t>
      </w:r>
    </w:p>
    <w:p w14:paraId="1F672B9F">
      <w:pPr>
        <w:pStyle w:val="16"/>
        <w:spacing w:before="0" w:after="0" w:line="360" w:lineRule="auto"/>
      </w:pPr>
      <w:r>
        <w:rPr>
          <w:rFonts w:ascii="Times New Roman" w:hAnsi="Times New Roman" w:eastAsia="宋体"/>
          <w:b w:val="0"/>
          <w:color w:val="000000"/>
          <w:sz w:val="24"/>
        </w:rPr>
        <w:t>对于临床Ⅲ期患者，特别是计划进行新辅助治疗的患者，应进行腹腔镜探查，使用3穿孔法，先评估是否存在腹膜转移。推荐打开胃结肠韧带，观察网膜囊是否存在隐匿转移。如果存在腹膜转移，应送检明确诊断以及进行HER2、MMR蛋白等检测以指导治疗；如未见明显腹膜转移，应利用生理盐水灌洗并留取腹腔冲洗液进行腹水细胞学检测。</w:t>
      </w:r>
    </w:p>
    <w:p w14:paraId="19D2F581">
      <w:pPr>
        <w:pStyle w:val="16"/>
        <w:spacing w:before="0" w:after="0" w:line="360" w:lineRule="auto"/>
      </w:pPr>
      <w:r>
        <w:rPr>
          <w:rFonts w:ascii="Times New Roman" w:hAnsi="Times New Roman" w:eastAsia="宋体"/>
          <w:b w:val="0"/>
          <w:color w:val="000000"/>
          <w:sz w:val="24"/>
        </w:rPr>
        <w:t>机器人胃癌手术可在有丰富经验的医疗中心进行研究性探索。</w:t>
      </w:r>
    </w:p>
    <w:p w14:paraId="11F71058">
      <w:pPr>
        <w:pStyle w:val="4"/>
        <w:keepNext/>
        <w:spacing w:before="220" w:after="100" w:line="360" w:lineRule="auto"/>
      </w:pPr>
      <w:bookmarkStart w:id="16" w:name="_LarkToc00017"/>
      <w:r>
        <w:rPr>
          <w:rFonts w:ascii="Times New Roman" w:hAnsi="Times New Roman" w:eastAsia="黑体"/>
          <w:b/>
          <w:color w:val="000000"/>
          <w:sz w:val="28"/>
        </w:rPr>
        <w:t>（二）围手术期管理</w:t>
      </w:r>
      <w:bookmarkEnd w:id="16"/>
    </w:p>
    <w:p w14:paraId="4B673CE3">
      <w:pPr>
        <w:pStyle w:val="16"/>
        <w:spacing w:before="0" w:after="0" w:line="360" w:lineRule="auto"/>
      </w:pPr>
      <w:r>
        <w:rPr>
          <w:rFonts w:ascii="Times New Roman" w:hAnsi="Times New Roman" w:eastAsia="宋体"/>
          <w:b w:val="0"/>
          <w:color w:val="000000"/>
          <w:sz w:val="24"/>
        </w:rPr>
        <w:t>采用加速康复外科（ERAS）理念：早期下床、早期进食、多模式镇痛、尽早拔管。</w:t>
      </w:r>
    </w:p>
    <w:p w14:paraId="3FDCD65F">
      <w:pPr>
        <w:spacing w:before="0" w:after="0" w:line="360" w:lineRule="auto"/>
        <w:jc w:val="both"/>
      </w:pPr>
      <w:r>
        <w:rPr>
          <w:rFonts w:ascii="Times New Roman" w:hAnsi="Times New Roman" w:eastAsia="宋体"/>
          <w:b/>
          <w:color w:val="000000"/>
          <w:sz w:val="24"/>
        </w:rPr>
        <w:t>营养治疗：</w:t>
      </w:r>
    </w:p>
    <w:p w14:paraId="00A7A022">
      <w:pPr>
        <w:pStyle w:val="16"/>
        <w:spacing w:before="0" w:after="0" w:line="360" w:lineRule="auto"/>
      </w:pPr>
      <w:r>
        <w:rPr>
          <w:rFonts w:ascii="Times New Roman" w:hAnsi="Times New Roman" w:eastAsia="宋体"/>
          <w:b w:val="0"/>
          <w:color w:val="000000"/>
          <w:sz w:val="24"/>
        </w:rPr>
        <w:t>存在营养风险或营养不良的患者、经口进食不能达到能量需求的、预计围手术期超过5天不能进食或者预计摄入量不足需要量50%超过7天的患者要给予营养干预。</w:t>
      </w:r>
    </w:p>
    <w:p w14:paraId="1A14F81B">
      <w:pPr>
        <w:pStyle w:val="16"/>
        <w:spacing w:before="0" w:after="0" w:line="360" w:lineRule="auto"/>
      </w:pPr>
      <w:r>
        <w:rPr>
          <w:rFonts w:ascii="Times New Roman" w:hAnsi="Times New Roman" w:eastAsia="宋体"/>
          <w:b w:val="0"/>
          <w:color w:val="000000"/>
          <w:sz w:val="24"/>
        </w:rPr>
        <w:t>存在重度营养不良或中度营养不良且须接受大手术的患者在术前应实施7—14天营养治疗。</w:t>
      </w:r>
    </w:p>
    <w:p w14:paraId="6E0298D5">
      <w:pPr>
        <w:pStyle w:val="16"/>
        <w:spacing w:before="0" w:after="0" w:line="360" w:lineRule="auto"/>
      </w:pPr>
      <w:r>
        <w:rPr>
          <w:rFonts w:ascii="Times New Roman" w:hAnsi="Times New Roman" w:eastAsia="宋体"/>
          <w:b w:val="0"/>
          <w:color w:val="000000"/>
          <w:sz w:val="24"/>
        </w:rPr>
        <w:t>营养途径首选ONS或EN，EN无法实施或EN无法提供充足的能量和蛋白质时应补充或选择PN。</w:t>
      </w:r>
    </w:p>
    <w:p w14:paraId="41B21CB0">
      <w:pPr>
        <w:pStyle w:val="16"/>
        <w:spacing w:before="0" w:after="0" w:line="360" w:lineRule="auto"/>
      </w:pPr>
      <w:r>
        <w:rPr>
          <w:rFonts w:ascii="Times New Roman" w:hAnsi="Times New Roman" w:eastAsia="宋体"/>
          <w:b w:val="0"/>
          <w:color w:val="000000"/>
          <w:sz w:val="24"/>
        </w:rPr>
        <w:t>术后应早期（24—48小时）恢复经口进食、ONS或EN，符合条件的患者，应按照ERAS原则和流程实施营养治疗。</w:t>
      </w:r>
    </w:p>
    <w:p w14:paraId="5A07C804">
      <w:pPr>
        <w:pStyle w:val="4"/>
        <w:keepNext/>
        <w:spacing w:before="220" w:after="100" w:line="360" w:lineRule="auto"/>
      </w:pPr>
      <w:bookmarkStart w:id="17" w:name="_LarkToc00018"/>
      <w:r>
        <w:rPr>
          <w:rFonts w:ascii="Times New Roman" w:hAnsi="Times New Roman" w:eastAsia="黑体"/>
          <w:b/>
          <w:color w:val="000000"/>
          <w:sz w:val="28"/>
        </w:rPr>
        <w:t>（三）非手术治疗</w:t>
      </w:r>
      <w:bookmarkEnd w:id="17"/>
    </w:p>
    <w:p w14:paraId="56B173A3">
      <w:pPr>
        <w:pStyle w:val="16"/>
        <w:spacing w:before="0" w:after="0" w:line="360" w:lineRule="auto"/>
      </w:pPr>
      <w:r>
        <w:rPr>
          <w:rFonts w:ascii="Times New Roman" w:hAnsi="Times New Roman" w:eastAsia="宋体"/>
          <w:b w:val="0"/>
          <w:color w:val="000000"/>
          <w:sz w:val="24"/>
        </w:rPr>
        <w:t>若不能手术，按MDT方案行化疗、靶向或免疫治疗。</w:t>
      </w:r>
    </w:p>
    <w:p w14:paraId="1EA02460">
      <w:pPr>
        <w:pStyle w:val="16"/>
        <w:spacing w:before="0" w:after="0" w:line="360" w:lineRule="auto"/>
      </w:pPr>
      <w:r>
        <w:rPr>
          <w:rFonts w:ascii="Times New Roman" w:hAnsi="Times New Roman" w:eastAsia="宋体"/>
          <w:b w:val="0"/>
          <w:color w:val="000000"/>
          <w:sz w:val="24"/>
        </w:rPr>
        <w:t>支持治疗贯穿全程，包括营养治疗、并发症处理（出血、梗阻、穿孔）。</w:t>
      </w:r>
    </w:p>
    <w:p w14:paraId="765D9D33">
      <w:pPr>
        <w:spacing w:before="0" w:after="0" w:line="360" w:lineRule="auto"/>
        <w:jc w:val="both"/>
      </w:pPr>
      <w:r>
        <w:rPr>
          <w:rFonts w:ascii="Times New Roman" w:hAnsi="Times New Roman" w:eastAsia="宋体"/>
          <w:b/>
          <w:color w:val="000000"/>
          <w:sz w:val="24"/>
        </w:rPr>
        <w:t>并发症处理：</w:t>
      </w:r>
    </w:p>
    <w:p w14:paraId="72A9074A">
      <w:pPr>
        <w:pStyle w:val="16"/>
        <w:spacing w:before="0" w:after="0" w:line="360" w:lineRule="auto"/>
      </w:pPr>
      <w:r>
        <w:rPr>
          <w:rFonts w:ascii="Times New Roman" w:hAnsi="Times New Roman" w:eastAsia="宋体"/>
          <w:b/>
          <w:color w:val="000000"/>
          <w:sz w:val="24"/>
        </w:rPr>
        <w:t>出血</w:t>
      </w:r>
      <w:r>
        <w:rPr>
          <w:rFonts w:ascii="Times New Roman" w:hAnsi="Times New Roman" w:eastAsia="宋体"/>
          <w:b w:val="0"/>
          <w:color w:val="000000"/>
          <w:sz w:val="24"/>
        </w:rPr>
        <w:t>：内科治疗（质子泵抑制剂、生长抑素）、内镜治疗、介入治疗、外科治疗。</w:t>
      </w:r>
    </w:p>
    <w:p w14:paraId="14CC798F">
      <w:pPr>
        <w:pStyle w:val="16"/>
        <w:spacing w:before="0" w:after="0" w:line="360" w:lineRule="auto"/>
      </w:pPr>
      <w:r>
        <w:rPr>
          <w:rFonts w:ascii="Times New Roman" w:hAnsi="Times New Roman" w:eastAsia="宋体"/>
          <w:b/>
          <w:color w:val="000000"/>
          <w:sz w:val="24"/>
        </w:rPr>
        <w:t>梗阻</w:t>
      </w:r>
      <w:r>
        <w:rPr>
          <w:rFonts w:ascii="Times New Roman" w:hAnsi="Times New Roman" w:eastAsia="宋体"/>
          <w:b w:val="0"/>
          <w:color w:val="000000"/>
          <w:sz w:val="24"/>
        </w:rPr>
        <w:t>：手术治疗、内科治疗（抗肿瘤药物、生长抑素、胃肠减压、营养和止痛等对症支持治疗）、内镜治疗、放射治疗。</w:t>
      </w:r>
    </w:p>
    <w:p w14:paraId="600091E4">
      <w:pPr>
        <w:pStyle w:val="16"/>
        <w:spacing w:before="0" w:after="0" w:line="360" w:lineRule="auto"/>
      </w:pPr>
      <w:r>
        <w:rPr>
          <w:rFonts w:ascii="Times New Roman" w:hAnsi="Times New Roman" w:eastAsia="宋体"/>
          <w:b/>
          <w:color w:val="000000"/>
          <w:sz w:val="24"/>
        </w:rPr>
        <w:t>穿孔</w:t>
      </w:r>
      <w:r>
        <w:rPr>
          <w:rFonts w:ascii="Times New Roman" w:hAnsi="Times New Roman" w:eastAsia="宋体"/>
          <w:b w:val="0"/>
          <w:color w:val="000000"/>
          <w:sz w:val="24"/>
        </w:rPr>
        <w:t>：保守治疗（腹腔引流、质子泵抑制剂、生长抑素）、手术治疗（穿孔修补术、胃切除术）。</w:t>
      </w:r>
    </w:p>
    <w:p w14:paraId="15592E6B">
      <w:pPr>
        <w:pStyle w:val="3"/>
        <w:keepNext/>
        <w:spacing w:before="280" w:after="120" w:line="360" w:lineRule="auto"/>
      </w:pPr>
      <w:bookmarkStart w:id="18" w:name="_LarkToc00019"/>
      <w:r>
        <w:rPr>
          <w:rFonts w:ascii="Times New Roman" w:hAnsi="Times New Roman" w:eastAsia="黑体"/>
          <w:b/>
          <w:color w:val="000000"/>
          <w:sz w:val="32"/>
        </w:rPr>
        <w:t>五、出院标准与出院流程</w:t>
      </w:r>
      <w:bookmarkEnd w:id="18"/>
    </w:p>
    <w:p w14:paraId="52E9B404">
      <w:pPr>
        <w:spacing w:before="0" w:after="0" w:line="360" w:lineRule="auto"/>
        <w:jc w:val="both"/>
      </w:pPr>
      <w:r>
        <w:rPr>
          <w:rFonts w:ascii="Times New Roman" w:hAnsi="Times New Roman" w:eastAsia="宋体"/>
          <w:b w:val="0"/>
          <w:color w:val="000000"/>
          <w:sz w:val="24"/>
        </w:rPr>
        <w:t>达到以下条件可出院：</w:t>
      </w:r>
    </w:p>
    <w:p w14:paraId="3E62ECB2">
      <w:pPr>
        <w:pStyle w:val="16"/>
        <w:spacing w:before="0" w:after="0" w:line="360" w:lineRule="auto"/>
      </w:pPr>
      <w:r>
        <w:rPr>
          <w:rFonts w:ascii="Times New Roman" w:hAnsi="Times New Roman" w:eastAsia="宋体"/>
          <w:b w:val="0"/>
          <w:color w:val="000000"/>
          <w:sz w:val="24"/>
        </w:rPr>
        <w:t>体温正常3天以上；</w:t>
      </w:r>
    </w:p>
    <w:p w14:paraId="69AE7659">
      <w:pPr>
        <w:pStyle w:val="16"/>
        <w:spacing w:before="0" w:after="0" w:line="360" w:lineRule="auto"/>
      </w:pPr>
      <w:r>
        <w:rPr>
          <w:rFonts w:ascii="Times New Roman" w:hAnsi="Times New Roman" w:eastAsia="宋体"/>
          <w:b w:val="0"/>
          <w:color w:val="000000"/>
          <w:sz w:val="24"/>
        </w:rPr>
        <w:t>恢复半流质或软食，无明显不适；</w:t>
      </w:r>
    </w:p>
    <w:p w14:paraId="08D92AB4">
      <w:pPr>
        <w:pStyle w:val="16"/>
        <w:spacing w:before="0" w:after="0" w:line="360" w:lineRule="auto"/>
      </w:pPr>
      <w:r>
        <w:rPr>
          <w:rFonts w:ascii="Times New Roman" w:hAnsi="Times New Roman" w:eastAsia="宋体"/>
          <w:b w:val="0"/>
          <w:color w:val="000000"/>
          <w:sz w:val="24"/>
        </w:rPr>
        <w:t>疼痛可控，仅需口服止痛药；</w:t>
      </w:r>
    </w:p>
    <w:p w14:paraId="1B41DE7E">
      <w:pPr>
        <w:pStyle w:val="16"/>
        <w:spacing w:before="0" w:after="0" w:line="360" w:lineRule="auto"/>
      </w:pPr>
      <w:r>
        <w:rPr>
          <w:rFonts w:ascii="Times New Roman" w:hAnsi="Times New Roman" w:eastAsia="宋体"/>
          <w:b w:val="0"/>
          <w:color w:val="000000"/>
          <w:sz w:val="24"/>
        </w:rPr>
        <w:t>无吻合口瘘、感染、出血等严重并发症；</w:t>
      </w:r>
    </w:p>
    <w:p w14:paraId="413BAE72">
      <w:pPr>
        <w:pStyle w:val="16"/>
        <w:spacing w:before="0" w:after="0" w:line="360" w:lineRule="auto"/>
      </w:pPr>
      <w:r>
        <w:rPr>
          <w:rFonts w:ascii="Times New Roman" w:hAnsi="Times New Roman" w:eastAsia="宋体"/>
          <w:b w:val="0"/>
          <w:color w:val="000000"/>
          <w:sz w:val="24"/>
        </w:rPr>
        <w:t>伤口愈合良好；</w:t>
      </w:r>
    </w:p>
    <w:p w14:paraId="7B86AD43">
      <w:pPr>
        <w:pStyle w:val="16"/>
        <w:spacing w:before="0" w:after="0" w:line="360" w:lineRule="auto"/>
      </w:pPr>
      <w:r>
        <w:rPr>
          <w:rFonts w:ascii="Times New Roman" w:hAnsi="Times New Roman" w:eastAsia="宋体"/>
          <w:b w:val="0"/>
          <w:color w:val="000000"/>
          <w:sz w:val="24"/>
        </w:rPr>
        <w:t>能独立行走和基本自理。</w:t>
      </w:r>
    </w:p>
    <w:p w14:paraId="40CB2414">
      <w:pPr>
        <w:spacing w:before="0" w:after="0" w:line="360" w:lineRule="auto"/>
        <w:jc w:val="both"/>
      </w:pPr>
      <w:r>
        <w:rPr>
          <w:rFonts w:ascii="Times New Roman" w:hAnsi="Times New Roman" w:eastAsia="宋体"/>
          <w:b/>
          <w:color w:val="000000"/>
          <w:sz w:val="24"/>
        </w:rPr>
        <w:t>住院时间参考：</w:t>
      </w:r>
    </w:p>
    <w:p w14:paraId="57972504">
      <w:pPr>
        <w:pStyle w:val="16"/>
        <w:spacing w:before="0" w:after="0" w:line="360" w:lineRule="auto"/>
      </w:pPr>
      <w:r>
        <w:rPr>
          <w:rFonts w:ascii="Times New Roman" w:hAnsi="Times New Roman" w:eastAsia="宋体"/>
          <w:b w:val="0"/>
          <w:color w:val="000000"/>
          <w:sz w:val="24"/>
        </w:rPr>
        <w:t>仅住院确诊、分期：约3—7天；</w:t>
      </w:r>
    </w:p>
    <w:p w14:paraId="6F59C85D">
      <w:pPr>
        <w:pStyle w:val="16"/>
        <w:spacing w:before="0" w:after="0" w:line="360" w:lineRule="auto"/>
      </w:pPr>
      <w:r>
        <w:rPr>
          <w:rFonts w:ascii="Times New Roman" w:hAnsi="Times New Roman" w:eastAsia="宋体"/>
          <w:b w:val="0"/>
          <w:color w:val="000000"/>
          <w:sz w:val="24"/>
        </w:rPr>
        <w:t>确诊后手术：术前3—7天+术后5—10天，总约11—18天；</w:t>
      </w:r>
    </w:p>
    <w:p w14:paraId="59292FE8">
      <w:pPr>
        <w:pStyle w:val="16"/>
        <w:spacing w:before="0" w:after="0" w:line="360" w:lineRule="auto"/>
      </w:pPr>
      <w:r>
        <w:rPr>
          <w:rFonts w:ascii="Times New Roman" w:hAnsi="Times New Roman" w:eastAsia="宋体"/>
          <w:b w:val="0"/>
          <w:color w:val="000000"/>
          <w:sz w:val="24"/>
        </w:rPr>
        <w:t>微创手术可更短。</w:t>
      </w:r>
    </w:p>
    <w:p w14:paraId="5CB4DCD0">
      <w:pPr>
        <w:spacing w:before="0" w:after="0" w:line="360" w:lineRule="auto"/>
        <w:jc w:val="both"/>
      </w:pPr>
      <w:r>
        <w:rPr>
          <w:rFonts w:ascii="Times New Roman" w:hAnsi="Times New Roman" w:eastAsia="宋体"/>
          <w:b/>
          <w:color w:val="000000"/>
          <w:sz w:val="24"/>
        </w:rPr>
        <w:t>出院时：</w:t>
      </w:r>
    </w:p>
    <w:p w14:paraId="5520AD00">
      <w:pPr>
        <w:pStyle w:val="16"/>
        <w:spacing w:before="0" w:after="0" w:line="360" w:lineRule="auto"/>
      </w:pPr>
      <w:r>
        <w:rPr>
          <w:rFonts w:ascii="Times New Roman" w:hAnsi="Times New Roman" w:eastAsia="宋体"/>
          <w:b w:val="0"/>
          <w:color w:val="000000"/>
          <w:sz w:val="24"/>
        </w:rPr>
        <w:t>出具出院诊断、出院记录；</w:t>
      </w:r>
    </w:p>
    <w:p w14:paraId="218D3DF5">
      <w:pPr>
        <w:pStyle w:val="16"/>
        <w:spacing w:before="0" w:after="0" w:line="360" w:lineRule="auto"/>
      </w:pPr>
      <w:r>
        <w:rPr>
          <w:rFonts w:ascii="Times New Roman" w:hAnsi="Times New Roman" w:eastAsia="宋体"/>
          <w:b w:val="0"/>
          <w:color w:val="000000"/>
          <w:sz w:val="24"/>
        </w:rPr>
        <w:t>交代饮食、营养、活动、用药；</w:t>
      </w:r>
    </w:p>
    <w:p w14:paraId="670DB6F2">
      <w:pPr>
        <w:pStyle w:val="16"/>
        <w:spacing w:before="0" w:after="0" w:line="360" w:lineRule="auto"/>
      </w:pPr>
      <w:r>
        <w:rPr>
          <w:rFonts w:ascii="Times New Roman" w:hAnsi="Times New Roman" w:eastAsia="宋体"/>
          <w:b w:val="0"/>
          <w:color w:val="000000"/>
          <w:sz w:val="24"/>
        </w:rPr>
        <w:t>制定随访计划。</w:t>
      </w:r>
    </w:p>
    <w:p w14:paraId="5F6B021D">
      <w:pPr>
        <w:pStyle w:val="3"/>
        <w:keepNext/>
        <w:spacing w:before="280" w:after="120" w:line="360" w:lineRule="auto"/>
      </w:pPr>
      <w:bookmarkStart w:id="19" w:name="_LarkToc00020"/>
      <w:r>
        <w:rPr>
          <w:rFonts w:ascii="Times New Roman" w:hAnsi="Times New Roman" w:eastAsia="黑体"/>
          <w:b/>
          <w:color w:val="000000"/>
          <w:sz w:val="32"/>
        </w:rPr>
        <w:t>六、出院后随访（2026版指南修订）</w:t>
      </w:r>
      <w:bookmarkEnd w:id="19"/>
    </w:p>
    <w:p w14:paraId="733D62EF">
      <w:pPr>
        <w:pStyle w:val="4"/>
        <w:keepNext/>
        <w:spacing w:before="220" w:after="100" w:line="360" w:lineRule="auto"/>
      </w:pPr>
      <w:bookmarkStart w:id="20" w:name="_LarkToc00021"/>
      <w:r>
        <w:rPr>
          <w:rFonts w:ascii="Times New Roman" w:hAnsi="Times New Roman" w:eastAsia="黑体"/>
          <w:b/>
          <w:color w:val="000000"/>
          <w:sz w:val="28"/>
        </w:rPr>
        <w:t>1. 早期胃癌随访</w:t>
      </w:r>
      <w:bookmarkEnd w:id="20"/>
    </w:p>
    <w:p w14:paraId="2AFBF198">
      <w:pPr>
        <w:pStyle w:val="16"/>
        <w:spacing w:before="0" w:after="0" w:line="360" w:lineRule="auto"/>
      </w:pPr>
      <w:r>
        <w:rPr>
          <w:rFonts w:ascii="Times New Roman" w:hAnsi="Times New Roman" w:eastAsia="宋体"/>
          <w:b/>
          <w:color w:val="000000"/>
          <w:sz w:val="24"/>
        </w:rPr>
        <w:t>随访频率</w:t>
      </w:r>
      <w:r>
        <w:rPr>
          <w:rFonts w:ascii="Times New Roman" w:hAnsi="Times New Roman" w:eastAsia="宋体"/>
          <w:b w:val="0"/>
          <w:color w:val="000000"/>
          <w:sz w:val="24"/>
        </w:rPr>
        <w:t>：前2年每3—6个月1次，然后每6—12个月1次至5年；5年后每年1次。</w:t>
      </w:r>
    </w:p>
    <w:p w14:paraId="225736F1">
      <w:pPr>
        <w:pStyle w:val="16"/>
        <w:spacing w:before="0" w:after="0" w:line="360" w:lineRule="auto"/>
      </w:pPr>
      <w:r>
        <w:rPr>
          <w:rFonts w:ascii="Times New Roman" w:hAnsi="Times New Roman" w:eastAsia="宋体"/>
          <w:b/>
          <w:color w:val="000000"/>
          <w:sz w:val="24"/>
        </w:rPr>
        <w:t>随访内容（无特指时即为每次）</w:t>
      </w:r>
      <w:r>
        <w:rPr>
          <w:rFonts w:ascii="Times New Roman" w:hAnsi="Times New Roman" w:eastAsia="宋体"/>
          <w:b w:val="0"/>
          <w:color w:val="000000"/>
          <w:sz w:val="24"/>
        </w:rPr>
        <w:t>：</w:t>
      </w:r>
    </w:p>
    <w:p w14:paraId="767CBF94">
      <w:pPr>
        <w:pStyle w:val="16"/>
        <w:spacing w:before="0" w:after="0" w:line="360" w:lineRule="auto"/>
      </w:pPr>
      <w:r>
        <w:rPr>
          <w:rFonts w:ascii="Times New Roman" w:hAnsi="Times New Roman" w:eastAsia="宋体"/>
          <w:b w:val="0"/>
          <w:color w:val="000000"/>
          <w:sz w:val="24"/>
        </w:rPr>
        <w:t>临床病史；</w:t>
      </w:r>
    </w:p>
    <w:p w14:paraId="2E016A7B">
      <w:pPr>
        <w:pStyle w:val="16"/>
        <w:spacing w:before="0" w:after="0" w:line="360" w:lineRule="auto"/>
      </w:pPr>
      <w:r>
        <w:rPr>
          <w:rFonts w:ascii="Times New Roman" w:hAnsi="Times New Roman" w:eastAsia="宋体"/>
          <w:b w:val="0"/>
          <w:color w:val="000000"/>
          <w:sz w:val="24"/>
        </w:rPr>
        <w:t>体格检查；</w:t>
      </w:r>
    </w:p>
    <w:p w14:paraId="3CEF248C">
      <w:pPr>
        <w:pStyle w:val="16"/>
        <w:spacing w:before="0" w:after="0" w:line="360" w:lineRule="auto"/>
      </w:pPr>
      <w:r>
        <w:rPr>
          <w:rFonts w:ascii="Times New Roman" w:hAnsi="Times New Roman" w:eastAsia="宋体"/>
          <w:b w:val="0"/>
          <w:color w:val="000000"/>
          <w:sz w:val="24"/>
        </w:rPr>
        <w:t>血液学检查（全血细胞计数和化学分析，肿瘤标志物CEA和CA19-9）；</w:t>
      </w:r>
    </w:p>
    <w:p w14:paraId="3CDA5653">
      <w:pPr>
        <w:pStyle w:val="16"/>
        <w:spacing w:before="0" w:after="0" w:line="360" w:lineRule="auto"/>
      </w:pPr>
      <w:r>
        <w:rPr>
          <w:rFonts w:ascii="Times New Roman" w:hAnsi="Times New Roman" w:eastAsia="宋体"/>
          <w:b w:val="0"/>
          <w:color w:val="000000"/>
          <w:sz w:val="24"/>
        </w:rPr>
        <w:t>幽门螺杆菌检测；</w:t>
      </w:r>
    </w:p>
    <w:p w14:paraId="3C175B82">
      <w:pPr>
        <w:pStyle w:val="16"/>
        <w:spacing w:before="0" w:after="0" w:line="360" w:lineRule="auto"/>
      </w:pPr>
      <w:r>
        <w:rPr>
          <w:rFonts w:ascii="Times New Roman" w:hAnsi="Times New Roman" w:eastAsia="宋体"/>
          <w:b w:val="0"/>
          <w:color w:val="000000"/>
          <w:sz w:val="24"/>
        </w:rPr>
        <w:t>营养学评估（维生素B12、铁离子、钙离子等）；</w:t>
      </w:r>
    </w:p>
    <w:p w14:paraId="23DD44EE">
      <w:pPr>
        <w:pStyle w:val="16"/>
        <w:spacing w:before="0" w:after="0" w:line="360" w:lineRule="auto"/>
      </w:pPr>
      <w:r>
        <w:rPr>
          <w:rFonts w:ascii="Times New Roman" w:hAnsi="Times New Roman" w:eastAsia="宋体"/>
          <w:b w:val="0"/>
          <w:color w:val="000000"/>
          <w:sz w:val="24"/>
        </w:rPr>
        <w:t>体重变化；</w:t>
      </w:r>
    </w:p>
    <w:p w14:paraId="23EE5F45">
      <w:pPr>
        <w:pStyle w:val="16"/>
        <w:spacing w:before="0" w:after="0" w:line="360" w:lineRule="auto"/>
      </w:pPr>
      <w:r>
        <w:rPr>
          <w:rFonts w:ascii="Times New Roman" w:hAnsi="Times New Roman" w:eastAsia="宋体"/>
          <w:b w:val="0"/>
          <w:color w:val="000000"/>
          <w:sz w:val="24"/>
        </w:rPr>
        <w:t>胸部、腹部、盆腔增强CT检查（前1年每6—12个月1次，然后每1年一次）；</w:t>
      </w:r>
    </w:p>
    <w:p w14:paraId="4A5DE1BC">
      <w:pPr>
        <w:pStyle w:val="16"/>
        <w:spacing w:before="0" w:after="0" w:line="360" w:lineRule="auto"/>
      </w:pPr>
      <w:r>
        <w:rPr>
          <w:rFonts w:ascii="Times New Roman" w:hAnsi="Times New Roman" w:eastAsia="宋体"/>
          <w:b w:val="0"/>
          <w:color w:val="000000"/>
          <w:sz w:val="24"/>
        </w:rPr>
        <w:t>胃镜检查；</w:t>
      </w:r>
    </w:p>
    <w:p w14:paraId="3D01EFE9">
      <w:pPr>
        <w:pStyle w:val="16"/>
        <w:spacing w:before="0" w:after="0" w:line="360" w:lineRule="auto"/>
      </w:pPr>
      <w:r>
        <w:rPr>
          <w:rFonts w:ascii="Times New Roman" w:hAnsi="Times New Roman" w:eastAsia="宋体"/>
          <w:b w:val="0"/>
          <w:color w:val="000000"/>
          <w:sz w:val="24"/>
        </w:rPr>
        <w:t>PET/CT检查（Ⅱ级推荐）。</w:t>
      </w:r>
    </w:p>
    <w:p w14:paraId="3A5405F7">
      <w:pPr>
        <w:pStyle w:val="4"/>
        <w:keepNext/>
        <w:spacing w:before="220" w:after="100" w:line="360" w:lineRule="auto"/>
      </w:pPr>
      <w:bookmarkStart w:id="21" w:name="_LarkToc00022"/>
      <w:r>
        <w:rPr>
          <w:rFonts w:ascii="Times New Roman" w:hAnsi="Times New Roman" w:eastAsia="黑体"/>
          <w:b/>
          <w:color w:val="000000"/>
          <w:sz w:val="28"/>
        </w:rPr>
        <w:t>2. 进展期及晚期胃癌随访</w:t>
      </w:r>
      <w:bookmarkEnd w:id="21"/>
    </w:p>
    <w:p w14:paraId="0F0260B8">
      <w:pPr>
        <w:pStyle w:val="16"/>
        <w:spacing w:before="0" w:after="0" w:line="360" w:lineRule="auto"/>
      </w:pPr>
      <w:r>
        <w:rPr>
          <w:rFonts w:ascii="Times New Roman" w:hAnsi="Times New Roman" w:eastAsia="宋体"/>
          <w:b/>
          <w:color w:val="000000"/>
          <w:sz w:val="24"/>
        </w:rPr>
        <w:t>随访频率</w:t>
      </w:r>
      <w:r>
        <w:rPr>
          <w:rFonts w:ascii="Times New Roman" w:hAnsi="Times New Roman" w:eastAsia="宋体"/>
          <w:b w:val="0"/>
          <w:color w:val="000000"/>
          <w:sz w:val="24"/>
        </w:rPr>
        <w:t>：前2年每3—6个月1次，然后每6—12个月1次至5年；5年后每年1次。</w:t>
      </w:r>
    </w:p>
    <w:p w14:paraId="69255A23">
      <w:pPr>
        <w:pStyle w:val="16"/>
        <w:spacing w:before="0" w:after="0" w:line="360" w:lineRule="auto"/>
      </w:pPr>
      <w:r>
        <w:rPr>
          <w:rFonts w:ascii="Times New Roman" w:hAnsi="Times New Roman" w:eastAsia="宋体"/>
          <w:b/>
          <w:color w:val="000000"/>
          <w:sz w:val="24"/>
        </w:rPr>
        <w:t>随访内容</w:t>
      </w:r>
      <w:r>
        <w:rPr>
          <w:rFonts w:ascii="Times New Roman" w:hAnsi="Times New Roman" w:eastAsia="宋体"/>
          <w:b w:val="0"/>
          <w:color w:val="000000"/>
          <w:sz w:val="24"/>
        </w:rPr>
        <w:t>：</w:t>
      </w:r>
    </w:p>
    <w:p w14:paraId="4FFFC066">
      <w:pPr>
        <w:pStyle w:val="16"/>
        <w:spacing w:before="0" w:after="0" w:line="360" w:lineRule="auto"/>
      </w:pPr>
      <w:r>
        <w:rPr>
          <w:rFonts w:ascii="Times New Roman" w:hAnsi="Times New Roman" w:eastAsia="宋体"/>
          <w:b w:val="0"/>
          <w:color w:val="000000"/>
          <w:sz w:val="24"/>
        </w:rPr>
        <w:t>临床病史；</w:t>
      </w:r>
    </w:p>
    <w:p w14:paraId="6E544D5B">
      <w:pPr>
        <w:pStyle w:val="16"/>
        <w:spacing w:before="0" w:after="0" w:line="360" w:lineRule="auto"/>
      </w:pPr>
      <w:r>
        <w:rPr>
          <w:rFonts w:ascii="Times New Roman" w:hAnsi="Times New Roman" w:eastAsia="宋体"/>
          <w:b w:val="0"/>
          <w:color w:val="000000"/>
          <w:sz w:val="24"/>
        </w:rPr>
        <w:t>体格检查；</w:t>
      </w:r>
    </w:p>
    <w:p w14:paraId="3A6CB596">
      <w:pPr>
        <w:pStyle w:val="16"/>
        <w:spacing w:before="0" w:after="0" w:line="360" w:lineRule="auto"/>
      </w:pPr>
      <w:r>
        <w:rPr>
          <w:rFonts w:ascii="Times New Roman" w:hAnsi="Times New Roman" w:eastAsia="宋体"/>
          <w:b w:val="0"/>
          <w:color w:val="000000"/>
          <w:sz w:val="24"/>
        </w:rPr>
        <w:t>血液学检查（全血细胞计数和化学分析，肿瘤标志物CEA和CA19-9）；</w:t>
      </w:r>
    </w:p>
    <w:p w14:paraId="6786C873">
      <w:pPr>
        <w:pStyle w:val="16"/>
        <w:spacing w:before="0" w:after="0" w:line="360" w:lineRule="auto"/>
      </w:pPr>
      <w:r>
        <w:rPr>
          <w:rFonts w:ascii="Times New Roman" w:hAnsi="Times New Roman" w:eastAsia="宋体"/>
          <w:b w:val="0"/>
          <w:color w:val="000000"/>
          <w:sz w:val="24"/>
        </w:rPr>
        <w:t>幽门螺杆菌检测；</w:t>
      </w:r>
    </w:p>
    <w:p w14:paraId="0F9FC1AC">
      <w:pPr>
        <w:pStyle w:val="16"/>
        <w:spacing w:before="0" w:after="0" w:line="360" w:lineRule="auto"/>
      </w:pPr>
      <w:r>
        <w:rPr>
          <w:rFonts w:ascii="Times New Roman" w:hAnsi="Times New Roman" w:eastAsia="宋体"/>
          <w:b w:val="0"/>
          <w:color w:val="000000"/>
          <w:sz w:val="24"/>
        </w:rPr>
        <w:t>营养学评估（维生素B12、铁离子、钙离子等）；</w:t>
      </w:r>
    </w:p>
    <w:p w14:paraId="5CF1AE80">
      <w:pPr>
        <w:pStyle w:val="16"/>
        <w:spacing w:before="0" w:after="0" w:line="360" w:lineRule="auto"/>
      </w:pPr>
      <w:r>
        <w:rPr>
          <w:rFonts w:ascii="Times New Roman" w:hAnsi="Times New Roman" w:eastAsia="宋体"/>
          <w:b w:val="0"/>
          <w:color w:val="000000"/>
          <w:sz w:val="24"/>
        </w:rPr>
        <w:t>体重变化；</w:t>
      </w:r>
    </w:p>
    <w:p w14:paraId="151584DD">
      <w:pPr>
        <w:pStyle w:val="16"/>
        <w:spacing w:before="0" w:after="0" w:line="360" w:lineRule="auto"/>
      </w:pPr>
      <w:r>
        <w:rPr>
          <w:rFonts w:ascii="Times New Roman" w:hAnsi="Times New Roman" w:eastAsia="宋体"/>
          <w:b w:val="0"/>
          <w:color w:val="000000"/>
          <w:sz w:val="24"/>
        </w:rPr>
        <w:t>胸部、腹部、盆腔增强CT检查（前2年每6—12个月1次，然后每年1次）；</w:t>
      </w:r>
    </w:p>
    <w:p w14:paraId="1489B27E">
      <w:pPr>
        <w:pStyle w:val="16"/>
        <w:spacing w:before="0" w:after="0" w:line="360" w:lineRule="auto"/>
      </w:pPr>
      <w:r>
        <w:rPr>
          <w:rFonts w:ascii="Times New Roman" w:hAnsi="Times New Roman" w:eastAsia="宋体"/>
          <w:b w:val="0"/>
          <w:color w:val="000000"/>
          <w:sz w:val="24"/>
        </w:rPr>
        <w:t>胃镜检查；</w:t>
      </w:r>
    </w:p>
    <w:p w14:paraId="473C577D">
      <w:pPr>
        <w:pStyle w:val="16"/>
        <w:spacing w:before="0" w:after="0" w:line="360" w:lineRule="auto"/>
      </w:pPr>
      <w:r>
        <w:rPr>
          <w:rFonts w:ascii="Times New Roman" w:hAnsi="Times New Roman" w:eastAsia="宋体"/>
          <w:b w:val="0"/>
          <w:color w:val="000000"/>
          <w:sz w:val="24"/>
        </w:rPr>
        <w:t>免疫治疗监测免疫相关不良反应（甲状腺功能等）；</w:t>
      </w:r>
    </w:p>
    <w:p w14:paraId="2C9BE97B">
      <w:pPr>
        <w:pStyle w:val="16"/>
        <w:spacing w:before="0" w:after="0" w:line="360" w:lineRule="auto"/>
      </w:pPr>
      <w:r>
        <w:rPr>
          <w:rFonts w:ascii="Times New Roman" w:hAnsi="Times New Roman" w:eastAsia="宋体"/>
          <w:b w:val="0"/>
          <w:color w:val="000000"/>
          <w:sz w:val="24"/>
        </w:rPr>
        <w:t>抗HER2治疗监测心电图、超声心动图等；</w:t>
      </w:r>
    </w:p>
    <w:p w14:paraId="11A3B448">
      <w:pPr>
        <w:pStyle w:val="16"/>
        <w:spacing w:before="0" w:after="0" w:line="360" w:lineRule="auto"/>
      </w:pPr>
      <w:r>
        <w:rPr>
          <w:rFonts w:ascii="Times New Roman" w:hAnsi="Times New Roman" w:eastAsia="宋体"/>
          <w:b w:val="0"/>
          <w:color w:val="000000"/>
          <w:sz w:val="24"/>
        </w:rPr>
        <w:t>PET/CT检查（Ⅱ级推荐）；</w:t>
      </w:r>
    </w:p>
    <w:p w14:paraId="5F3D7835">
      <w:pPr>
        <w:pStyle w:val="16"/>
        <w:spacing w:before="0" w:after="0" w:line="360" w:lineRule="auto"/>
      </w:pPr>
      <w:r>
        <w:rPr>
          <w:rFonts w:ascii="Times New Roman" w:hAnsi="Times New Roman" w:eastAsia="宋体"/>
          <w:b w:val="0"/>
          <w:color w:val="000000"/>
          <w:sz w:val="24"/>
        </w:rPr>
        <w:t>症状恶化及新发症状随时随访。</w:t>
      </w:r>
    </w:p>
    <w:p w14:paraId="2F675157">
      <w:pPr>
        <w:pStyle w:val="4"/>
        <w:keepNext/>
        <w:spacing w:before="220" w:after="100" w:line="360" w:lineRule="auto"/>
      </w:pPr>
      <w:bookmarkStart w:id="22" w:name="_LarkToc00023"/>
      <w:r>
        <w:rPr>
          <w:rFonts w:ascii="Times New Roman" w:hAnsi="Times New Roman" w:eastAsia="黑体"/>
          <w:b/>
          <w:color w:val="000000"/>
          <w:sz w:val="28"/>
        </w:rPr>
        <w:t>3. 遗传相关胃癌筛查</w:t>
      </w:r>
      <w:bookmarkEnd w:id="22"/>
    </w:p>
    <w:p w14:paraId="19B957B7">
      <w:pPr>
        <w:pStyle w:val="16"/>
        <w:spacing w:before="0" w:after="0" w:line="360" w:lineRule="auto"/>
      </w:pPr>
      <w:r>
        <w:rPr>
          <w:rFonts w:ascii="Times New Roman" w:hAnsi="Times New Roman" w:eastAsia="宋体"/>
          <w:b w:val="0"/>
          <w:color w:val="000000"/>
          <w:sz w:val="24"/>
        </w:rPr>
        <w:t>推荐具有以下特征的胃癌患者或有家族史的个人进行胃癌遗传风险筛查：</w:t>
      </w:r>
    </w:p>
    <w:p w14:paraId="45EA6FC9">
      <w:pPr>
        <w:pStyle w:val="16"/>
        <w:spacing w:before="0" w:after="0" w:line="360" w:lineRule="auto"/>
      </w:pPr>
      <w:r>
        <w:rPr>
          <w:rFonts w:ascii="Times New Roman" w:hAnsi="Times New Roman" w:eastAsia="宋体"/>
          <w:b w:val="0"/>
          <w:color w:val="000000"/>
          <w:sz w:val="24"/>
        </w:rPr>
        <w:t>40岁以前发病；</w:t>
      </w:r>
    </w:p>
    <w:p w14:paraId="0F48A61C">
      <w:pPr>
        <w:pStyle w:val="16"/>
        <w:spacing w:before="0" w:after="0" w:line="360" w:lineRule="auto"/>
      </w:pPr>
      <w:r>
        <w:rPr>
          <w:rFonts w:ascii="Times New Roman" w:hAnsi="Times New Roman" w:eastAsia="宋体"/>
          <w:b w:val="0"/>
          <w:color w:val="000000"/>
          <w:sz w:val="24"/>
        </w:rPr>
        <w:t>50岁以前发病，同时有1个一、二级亲属患胃癌；</w:t>
      </w:r>
    </w:p>
    <w:p w14:paraId="372B8049">
      <w:pPr>
        <w:pStyle w:val="16"/>
        <w:spacing w:before="0" w:after="0" w:line="360" w:lineRule="auto"/>
      </w:pPr>
      <w:r>
        <w:rPr>
          <w:rFonts w:ascii="Times New Roman" w:hAnsi="Times New Roman" w:eastAsia="宋体"/>
          <w:b w:val="0"/>
          <w:color w:val="000000"/>
          <w:sz w:val="24"/>
        </w:rPr>
        <w:t>不考虑发病年龄，一、二级亲属中有2个或2个以上胃癌患者；</w:t>
      </w:r>
    </w:p>
    <w:p w14:paraId="193C076B">
      <w:pPr>
        <w:pStyle w:val="16"/>
        <w:spacing w:before="0" w:after="0" w:line="360" w:lineRule="auto"/>
      </w:pPr>
      <w:r>
        <w:rPr>
          <w:rFonts w:ascii="Times New Roman" w:hAnsi="Times New Roman" w:eastAsia="宋体"/>
          <w:b w:val="0"/>
          <w:color w:val="000000"/>
          <w:sz w:val="24"/>
        </w:rPr>
        <w:t>同时患胃癌和乳腺癌，且其中一种疾病发病年龄小于50岁；</w:t>
      </w:r>
    </w:p>
    <w:p w14:paraId="192ED918">
      <w:pPr>
        <w:pStyle w:val="16"/>
        <w:spacing w:before="0" w:after="0" w:line="360" w:lineRule="auto"/>
      </w:pPr>
      <w:r>
        <w:rPr>
          <w:rFonts w:ascii="Times New Roman" w:hAnsi="Times New Roman" w:eastAsia="宋体"/>
          <w:b w:val="0"/>
          <w:color w:val="000000"/>
          <w:sz w:val="24"/>
        </w:rPr>
        <w:t>不考虑发病年龄，一、二级亲属中有50岁以前患乳腺癌的患者；</w:t>
      </w:r>
    </w:p>
    <w:p w14:paraId="079C07CE">
      <w:pPr>
        <w:pStyle w:val="16"/>
        <w:spacing w:before="0" w:after="0" w:line="360" w:lineRule="auto"/>
      </w:pPr>
      <w:r>
        <w:rPr>
          <w:rFonts w:ascii="Times New Roman" w:hAnsi="Times New Roman" w:eastAsia="宋体"/>
          <w:b w:val="0"/>
          <w:color w:val="000000"/>
          <w:sz w:val="24"/>
        </w:rPr>
        <w:t>不考虑发病年龄，有JP综合征或胃肠息肉或林奇综合征家族史；</w:t>
      </w:r>
    </w:p>
    <w:p w14:paraId="684E777A">
      <w:pPr>
        <w:pStyle w:val="16"/>
        <w:spacing w:before="0" w:after="0" w:line="360" w:lineRule="auto"/>
      </w:pPr>
      <w:r>
        <w:rPr>
          <w:rFonts w:ascii="Times New Roman" w:hAnsi="Times New Roman" w:eastAsia="宋体"/>
          <w:b w:val="0"/>
          <w:color w:val="000000"/>
          <w:sz w:val="24"/>
        </w:rPr>
        <w:t>亲属有已知的胃癌易感基因突变；</w:t>
      </w:r>
    </w:p>
    <w:p w14:paraId="5AC27B6F">
      <w:pPr>
        <w:pStyle w:val="16"/>
        <w:spacing w:before="0" w:after="0" w:line="360" w:lineRule="auto"/>
      </w:pPr>
      <w:r>
        <w:rPr>
          <w:rFonts w:ascii="Times New Roman" w:hAnsi="Times New Roman" w:eastAsia="宋体"/>
          <w:b w:val="0"/>
          <w:color w:val="000000"/>
          <w:sz w:val="24"/>
        </w:rPr>
        <w:t>有一、二级亲属40岁以前诊断为胃癌；</w:t>
      </w:r>
    </w:p>
    <w:p w14:paraId="4203A641">
      <w:pPr>
        <w:pStyle w:val="16"/>
        <w:spacing w:before="0" w:after="0" w:line="360" w:lineRule="auto"/>
      </w:pPr>
      <w:r>
        <w:rPr>
          <w:rFonts w:ascii="Times New Roman" w:hAnsi="Times New Roman" w:eastAsia="宋体"/>
          <w:b w:val="0"/>
          <w:color w:val="000000"/>
          <w:sz w:val="24"/>
        </w:rPr>
        <w:t>有2个一、二级亲属50岁以前诊断为胃癌；</w:t>
      </w:r>
    </w:p>
    <w:p w14:paraId="1010C88A">
      <w:pPr>
        <w:pStyle w:val="16"/>
        <w:spacing w:before="0" w:after="0" w:line="360" w:lineRule="auto"/>
      </w:pPr>
      <w:r>
        <w:rPr>
          <w:rFonts w:ascii="Times New Roman" w:hAnsi="Times New Roman" w:eastAsia="宋体"/>
          <w:b w:val="0"/>
          <w:color w:val="000000"/>
          <w:sz w:val="24"/>
        </w:rPr>
        <w:t>有3个一、二级亲属患胃癌，不考虑发病年龄；</w:t>
      </w:r>
    </w:p>
    <w:p w14:paraId="16260414">
      <w:pPr>
        <w:pStyle w:val="16"/>
        <w:spacing w:before="0" w:after="0" w:line="360" w:lineRule="auto"/>
      </w:pPr>
      <w:r>
        <w:rPr>
          <w:rFonts w:ascii="Times New Roman" w:hAnsi="Times New Roman" w:eastAsia="宋体"/>
          <w:b w:val="0"/>
          <w:color w:val="000000"/>
          <w:sz w:val="24"/>
        </w:rPr>
        <w:t>有亲属同时患胃癌和乳腺癌，其中一种疾病发病年龄小于50岁，亲属有JPS或胃肠息肉综合征。</w:t>
      </w:r>
    </w:p>
    <w:p w14:paraId="1EAEE1B6">
      <w:pPr>
        <w:spacing w:before="0" w:after="0" w:line="360" w:lineRule="auto"/>
        <w:jc w:val="both"/>
      </w:pPr>
      <w:r>
        <w:rPr>
          <w:rFonts w:ascii="Times New Roman" w:hAnsi="Times New Roman" w:eastAsia="宋体"/>
          <w:b/>
          <w:color w:val="000000"/>
          <w:sz w:val="24"/>
        </w:rPr>
        <w:t>符合以下标准的患者进行CDH1突变的基因检测：</w:t>
      </w:r>
    </w:p>
    <w:p w14:paraId="395F0F81">
      <w:pPr>
        <w:pStyle w:val="16"/>
        <w:spacing w:before="0" w:after="0" w:line="360" w:lineRule="auto"/>
      </w:pPr>
      <w:r>
        <w:rPr>
          <w:rFonts w:ascii="Times New Roman" w:hAnsi="Times New Roman" w:eastAsia="宋体"/>
          <w:b w:val="0"/>
          <w:color w:val="000000"/>
          <w:sz w:val="24"/>
        </w:rPr>
        <w:t>家族中有≥2例胃癌患者，至少有1例弥漫性胃癌（DGC）患者；</w:t>
      </w:r>
    </w:p>
    <w:p w14:paraId="6A6FFCFD">
      <w:pPr>
        <w:pStyle w:val="16"/>
        <w:spacing w:before="0" w:after="0" w:line="360" w:lineRule="auto"/>
      </w:pPr>
      <w:r>
        <w:rPr>
          <w:rFonts w:ascii="Times New Roman" w:hAnsi="Times New Roman" w:eastAsia="宋体"/>
          <w:b w:val="0"/>
          <w:color w:val="000000"/>
          <w:sz w:val="24"/>
        </w:rPr>
        <w:t>家族中有≥1例DGC患者，且有≥1例浸润性小叶乳腺癌患者发病年龄&lt;70岁；</w:t>
      </w:r>
    </w:p>
    <w:p w14:paraId="7F87947C">
      <w:pPr>
        <w:pStyle w:val="16"/>
        <w:spacing w:before="0" w:after="0" w:line="360" w:lineRule="auto"/>
      </w:pPr>
      <w:r>
        <w:rPr>
          <w:rFonts w:ascii="Times New Roman" w:hAnsi="Times New Roman" w:eastAsia="宋体"/>
          <w:b w:val="0"/>
          <w:color w:val="000000"/>
          <w:sz w:val="24"/>
        </w:rPr>
        <w:t>家族中有≥2例浸润性小叶乳腺癌患者发病年龄均&lt;50岁；</w:t>
      </w:r>
    </w:p>
    <w:p w14:paraId="6FECB2A7">
      <w:pPr>
        <w:pStyle w:val="16"/>
        <w:spacing w:before="0" w:after="0" w:line="360" w:lineRule="auto"/>
      </w:pPr>
      <w:r>
        <w:rPr>
          <w:rFonts w:ascii="Times New Roman" w:hAnsi="Times New Roman" w:eastAsia="宋体"/>
          <w:b w:val="0"/>
          <w:color w:val="000000"/>
          <w:sz w:val="24"/>
        </w:rPr>
        <w:t>50岁以前诊断DGC，不考虑家族史；</w:t>
      </w:r>
    </w:p>
    <w:p w14:paraId="652CD1CC">
      <w:pPr>
        <w:pStyle w:val="16"/>
        <w:spacing w:before="0" w:after="0" w:line="360" w:lineRule="auto"/>
      </w:pPr>
      <w:r>
        <w:rPr>
          <w:rFonts w:ascii="Times New Roman" w:hAnsi="Times New Roman" w:eastAsia="宋体"/>
          <w:b w:val="0"/>
          <w:color w:val="000000"/>
          <w:sz w:val="24"/>
        </w:rPr>
        <w:t>任何年龄段的毛利人DGC患者；</w:t>
      </w:r>
    </w:p>
    <w:p w14:paraId="3DE6FD22">
      <w:pPr>
        <w:pStyle w:val="16"/>
        <w:spacing w:before="0" w:after="0" w:line="360" w:lineRule="auto"/>
      </w:pPr>
      <w:r>
        <w:rPr>
          <w:rFonts w:ascii="Times New Roman" w:hAnsi="Times New Roman" w:eastAsia="宋体"/>
          <w:b w:val="0"/>
          <w:color w:val="000000"/>
          <w:sz w:val="24"/>
        </w:rPr>
        <w:t>有唇裂或腭裂的个人或家族病史的DGC患者；</w:t>
      </w:r>
    </w:p>
    <w:p w14:paraId="4CF59CB0">
      <w:pPr>
        <w:pStyle w:val="16"/>
        <w:spacing w:before="0" w:after="0" w:line="360" w:lineRule="auto"/>
      </w:pPr>
      <w:r>
        <w:rPr>
          <w:rFonts w:ascii="Times New Roman" w:hAnsi="Times New Roman" w:eastAsia="宋体"/>
          <w:b w:val="0"/>
          <w:color w:val="000000"/>
          <w:sz w:val="24"/>
        </w:rPr>
        <w:t>个人有DGC和浸润性小叶乳腺癌病史，且发病年龄均&lt;70岁；</w:t>
      </w:r>
    </w:p>
    <w:p w14:paraId="19EEE5A7">
      <w:pPr>
        <w:pStyle w:val="16"/>
        <w:spacing w:before="0" w:after="0" w:line="360" w:lineRule="auto"/>
      </w:pPr>
      <w:r>
        <w:rPr>
          <w:rFonts w:ascii="Times New Roman" w:hAnsi="Times New Roman" w:eastAsia="宋体"/>
          <w:b w:val="0"/>
          <w:color w:val="000000"/>
          <w:sz w:val="24"/>
        </w:rPr>
        <w:t>双侧浸润性小叶乳腺癌患者，诊断年龄&lt;70岁；</w:t>
      </w:r>
    </w:p>
    <w:p w14:paraId="178CC5A1">
      <w:pPr>
        <w:pStyle w:val="16"/>
        <w:spacing w:before="0" w:after="0" w:line="360" w:lineRule="auto"/>
      </w:pPr>
      <w:r>
        <w:rPr>
          <w:rFonts w:ascii="Times New Roman" w:hAnsi="Times New Roman" w:eastAsia="宋体"/>
          <w:b w:val="0"/>
          <w:color w:val="000000"/>
          <w:sz w:val="24"/>
        </w:rPr>
        <w:t>胃原位或pagetoid播散的印戒细胞，且发病年龄&lt;50岁。</w:t>
      </w:r>
    </w:p>
    <w:p w14:paraId="71282571">
      <w:pPr>
        <w:spacing w:before="0" w:after="0" w:line="360" w:lineRule="auto"/>
        <w:jc w:val="both"/>
      </w:pPr>
      <w:r>
        <w:rPr>
          <w:rFonts w:ascii="Times New Roman" w:hAnsi="Times New Roman" w:eastAsia="宋体"/>
          <w:b/>
          <w:color w:val="000000"/>
          <w:sz w:val="24"/>
        </w:rPr>
        <w:t>遗传性弥漫性胃癌（HDGC）CDH1突变携带者管理：</w:t>
      </w:r>
    </w:p>
    <w:p w14:paraId="00C76ABD">
      <w:pPr>
        <w:pStyle w:val="16"/>
        <w:spacing w:before="0" w:after="0" w:line="360" w:lineRule="auto"/>
      </w:pPr>
      <w:r>
        <w:rPr>
          <w:rFonts w:ascii="Times New Roman" w:hAnsi="Times New Roman" w:eastAsia="宋体"/>
          <w:b w:val="0"/>
          <w:color w:val="000000"/>
          <w:sz w:val="24"/>
        </w:rPr>
        <w:t>18—40岁CDH1致病性胚系基因突变携带者建议进行预防性全胃切除（推荐等级：Ⅲ级；证据级别：2B）。</w:t>
      </w:r>
    </w:p>
    <w:p w14:paraId="2D052781">
      <w:pPr>
        <w:pStyle w:val="16"/>
        <w:spacing w:before="0" w:after="0" w:line="360" w:lineRule="auto"/>
      </w:pPr>
      <w:r>
        <w:rPr>
          <w:rFonts w:ascii="Times New Roman" w:hAnsi="Times New Roman" w:eastAsia="宋体"/>
          <w:b w:val="0"/>
          <w:color w:val="000000"/>
          <w:sz w:val="24"/>
        </w:rPr>
        <w:t>对于拒绝预防性全胃切除的携带者建议每6—12个月进行1次胃镜检查，包括多个位点的随机活检（建议≥30个随机活检点，覆盖胃窦、移行区、胃体、胃底、贲门）。</w:t>
      </w:r>
    </w:p>
    <w:p w14:paraId="01FC1084">
      <w:pPr>
        <w:pStyle w:val="16"/>
        <w:spacing w:before="0" w:after="0" w:line="360" w:lineRule="auto"/>
      </w:pPr>
      <w:r>
        <w:rPr>
          <w:rFonts w:ascii="Times New Roman" w:hAnsi="Times New Roman" w:eastAsia="宋体"/>
          <w:b w:val="0"/>
          <w:color w:val="000000"/>
          <w:sz w:val="24"/>
        </w:rPr>
        <w:t>女性从30岁开始每年进行乳房磁共振检查（推荐等级：Ⅲ级；证据级别：2B）。</w:t>
      </w:r>
    </w:p>
    <w:p w14:paraId="2C15C74F">
      <w:pPr>
        <w:spacing w:before="0" w:after="0" w:line="360" w:lineRule="auto"/>
        <w:ind w:firstLine="482" w:firstLineChars="200"/>
        <w:jc w:val="both"/>
        <w:rPr>
          <w:b/>
          <w:bCs/>
        </w:rPr>
      </w:pPr>
      <w:r>
        <w:rPr>
          <w:rFonts w:ascii="Times New Roman" w:hAnsi="Times New Roman" w:eastAsia="宋体"/>
          <w:b/>
          <w:color w:val="000000"/>
          <w:sz w:val="24"/>
        </w:rPr>
        <w:t>整体流程可概括为</w:t>
      </w:r>
      <w:r>
        <w:rPr>
          <w:rFonts w:ascii="Times New Roman" w:hAnsi="Times New Roman" w:eastAsia="宋体"/>
          <w:b w:val="0"/>
          <w:color w:val="000000"/>
          <w:sz w:val="24"/>
        </w:rPr>
        <w:t>：</w:t>
      </w:r>
      <w:r>
        <w:rPr>
          <w:rFonts w:ascii="Times New Roman" w:hAnsi="Times New Roman" w:eastAsia="宋体"/>
          <w:b/>
          <w:bCs/>
          <w:color w:val="000000"/>
          <w:sz w:val="24"/>
        </w:rPr>
        <w:t>门诊胃镜怀疑</w:t>
      </w:r>
      <w:r>
        <w:rPr>
          <w:rFonts w:hint="eastAsia" w:ascii="Times New Roman" w:hAnsi="Times New Roman" w:eastAsia="宋体"/>
          <w:b/>
          <w:bCs/>
          <w:color w:val="000000"/>
          <w:sz w:val="24"/>
          <w:lang w:val="en-US" w:eastAsia="zh-CN"/>
        </w:rPr>
        <w:t>/确诊</w:t>
      </w:r>
      <w:r>
        <w:rPr>
          <w:rFonts w:ascii="Times New Roman" w:hAnsi="Times New Roman" w:eastAsia="宋体"/>
          <w:b/>
          <w:bCs/>
          <w:color w:val="000000"/>
          <w:sz w:val="24"/>
        </w:rPr>
        <w:t>胃癌→收住院→住院后追踪病理、完善分期和术前检查，完成HER2、MSI/MMR、PD-L1、Claudin18.2等分子检测→确诊后MDT→早期内镜或手术；进展期围手术期化疗/放化疗±免疫，D2手术+辅助化疗；晚期按分子分型系统治疗→达到出院标准后出院随访。</w:t>
      </w:r>
    </w:p>
    <w:sectPr>
      <w:footerReference r:id="rId5" w:type="default"/>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Courier">
    <w:altName w:val="Courier New"/>
    <w:panose1 w:val="02000500000000000000"/>
    <w:charset w:val="00"/>
    <w:family w:val="auto"/>
    <w:pitch w:val="default"/>
    <w:sig w:usb0="00000000" w:usb1="00000000" w:usb2="00000000" w:usb3="00000000" w:csb0="00000001"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90186">
    <w:pPr>
      <w:pStyle w:val="24"/>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70090AF">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70090AF">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fficeWordTocPaginationV1" w:val="v5:4cfe27405682a6f76ec3d34ef672a16e87e9f26a1388d196f1446db167902b62:4e4c3352eb507031275dc86c68643aa89f4509e7b2696cefe63a5e270471e3d0:0a98ce2e830c4ef83440cb2c2dbb7ec0801f73b31e1f2e4a5ff56508e8801212"/>
  </w:docVars>
  <w:rsids>
    <w:rsidRoot w:val="00B47730"/>
    <w:rsid w:val="00034616"/>
    <w:rsid w:val="0006063C"/>
    <w:rsid w:val="0015074B"/>
    <w:rsid w:val="0029639D"/>
    <w:rsid w:val="00326F90"/>
    <w:rsid w:val="00AA1D8D"/>
    <w:rsid w:val="00B47730"/>
    <w:rsid w:val="00CB0664"/>
    <w:rsid w:val="00FC693F"/>
    <w:rsid w:val="59ED42F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2">
    <w:name w:val="macro"/>
    <w:link w:val="149"/>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8"/>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6"/>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8"/>
    <w:unhideWhenUsed/>
    <w:uiPriority w:val="99"/>
    <w:pPr>
      <w:tabs>
        <w:tab w:val="center" w:pos="4680"/>
        <w:tab w:val="right" w:pos="9360"/>
      </w:tabs>
      <w:spacing w:after="0" w:line="240" w:lineRule="auto"/>
    </w:pPr>
  </w:style>
  <w:style w:type="paragraph" w:styleId="25">
    <w:name w:val="header"/>
    <w:basedOn w:val="1"/>
    <w:link w:val="137"/>
    <w:unhideWhenUsed/>
    <w:uiPriority w:val="99"/>
    <w:pPr>
      <w:tabs>
        <w:tab w:val="center" w:pos="4680"/>
        <w:tab w:val="right" w:pos="9360"/>
      </w:tabs>
      <w:spacing w:after="0" w:line="240" w:lineRule="auto"/>
    </w:pPr>
  </w:style>
  <w:style w:type="paragraph" w:styleId="26">
    <w:name w:val="toc 1"/>
    <w:basedOn w:val="1"/>
    <w:next w:val="1"/>
    <w:semiHidden/>
    <w:unhideWhenUsed/>
    <w:uiPriority w:val="39"/>
    <w:pPr>
      <w:spacing w:line="240" w:lineRule="auto"/>
      <w:ind w:firstLine="0" w:firstLineChars="0"/>
    </w:pPr>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uiPriority w:val="99"/>
    <w:pPr>
      <w:ind w:left="360" w:hanging="360"/>
      <w:contextualSpacing/>
    </w:pPr>
  </w:style>
  <w:style w:type="paragraph" w:styleId="29">
    <w:name w:val="toc 2"/>
    <w:basedOn w:val="1"/>
    <w:next w:val="1"/>
    <w:semiHidden/>
    <w:unhideWhenUsed/>
    <w:uiPriority w:val="39"/>
    <w:pPr>
      <w:spacing w:line="240" w:lineRule="auto"/>
      <w:ind w:left="420" w:leftChars="200" w:firstLine="0" w:firstLineChars="0"/>
    </w:pPr>
  </w:style>
  <w:style w:type="paragraph" w:styleId="30">
    <w:name w:val="Body Text 2"/>
    <w:basedOn w:val="1"/>
    <w:link w:val="147"/>
    <w:unhideWhenUsed/>
    <w:uiPriority w:val="99"/>
    <w:pPr>
      <w:spacing w:after="120" w:line="480" w:lineRule="auto"/>
    </w:pPr>
  </w:style>
  <w:style w:type="paragraph" w:styleId="31">
    <w:name w:val="List Continue 2"/>
    <w:basedOn w:val="1"/>
    <w:unhideWhenUsed/>
    <w:uiPriority w:val="99"/>
    <w:pPr>
      <w:spacing w:after="120"/>
      <w:ind w:left="720"/>
      <w:contextualSpacing/>
    </w:pPr>
  </w:style>
  <w:style w:type="paragraph" w:styleId="32">
    <w:name w:val="List Continue 3"/>
    <w:basedOn w:val="1"/>
    <w:unhideWhenUsed/>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uiPriority w:val="99"/>
  </w:style>
  <w:style w:type="character" w:customStyle="1" w:styleId="138">
    <w:name w:val="Footer Char"/>
    <w:basedOn w:val="134"/>
    <w:link w:val="24"/>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3"/>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uiPriority w:val="99"/>
  </w:style>
  <w:style w:type="character" w:customStyle="1" w:styleId="147">
    <w:name w:val="Body Text 2 Char"/>
    <w:basedOn w:val="134"/>
    <w:link w:val="30"/>
    <w:uiPriority w:val="99"/>
  </w:style>
  <w:style w:type="character" w:customStyle="1" w:styleId="148">
    <w:name w:val="Body Text 3 Char"/>
    <w:basedOn w:val="134"/>
    <w:link w:val="17"/>
    <w:uiPriority w:val="99"/>
    <w:rPr>
      <w:sz w:val="16"/>
      <w:szCs w:val="16"/>
    </w:rPr>
  </w:style>
  <w:style w:type="character" w:customStyle="1" w:styleId="149">
    <w:name w:val="Macro Text Char"/>
    <w:basedOn w:val="134"/>
    <w:link w:val="2"/>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uiPriority w:val="29"/>
    <w:rPr>
      <w:i/>
      <w:iCs/>
      <w:color w:val="000000" w:themeColor="text1"/>
      <w14:textFill>
        <w14:solidFill>
          <w14:schemeClr w14:val="tx1"/>
        </w14:solidFill>
      </w14:textFill>
    </w:rPr>
  </w:style>
  <w:style w:type="character" w:customStyle="1" w:styleId="152">
    <w:name w:val="Heading 4 Char"/>
    <w:basedOn w:val="134"/>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7084</Words>
  <Characters>8463</Characters>
  <Lines>0</Lines>
  <Paragraphs>0</Paragraphs>
  <TotalTime>33</TotalTime>
  <ScaleCrop>false</ScaleCrop>
  <LinksUpToDate>false</LinksUpToDate>
  <CharactersWithSpaces>8522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白哥</cp:lastModifiedBy>
  <dcterms:modified xsi:type="dcterms:W3CDTF">2026-10-13T14:43:13Z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eyJoZGlkIjoiNGI2NDg2OWQ5YThmNjY2Y2QwOTI3OGY0YTIxZTg2ZTYiLCJ1c2VySWQiOiIyMzQyMTI1NTAifQ==</vt:lpwstr>
  </property>
  <property fmtid="{D5CDD505-2E9C-101B-9397-08002B2CF9AE}" pid="3" name="KSOProductBuildVer">
    <vt:lpwstr>2052-12.1.0.28505</vt:lpwstr>
  </property>
  <property fmtid="{D5CDD505-2E9C-101B-9397-08002B2CF9AE}" pid="4" name="ICV">
    <vt:lpwstr>EC61C3B2A32942188E5DA0A22C09C5AE_12</vt:lpwstr>
  </property>
</Properties>
</file>