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8EA2C">
      <w:pPr>
        <w:pStyle w:val="33"/>
        <w:spacing w:before="0" w:after="360" w:line="360" w:lineRule="auto"/>
        <w:jc w:val="center"/>
        <w:rPr>
          <w:rFonts w:ascii="Times New Roman" w:hAnsi="Times New Roman" w:eastAsia="黑体"/>
          <w:b/>
          <w:color w:val="000000"/>
          <w:sz w:val="36"/>
        </w:rPr>
      </w:pPr>
      <w:r>
        <w:rPr>
          <w:rFonts w:ascii="Times New Roman" w:hAnsi="Times New Roman" w:eastAsia="黑体"/>
          <w:b/>
          <w:color w:val="000000"/>
          <w:sz w:val="36"/>
        </w:rPr>
        <w:t>直肠癌住院诊疗流程</w:t>
      </w:r>
    </w:p>
    <w:p w14:paraId="44EB1BF1">
      <w:pPr>
        <w:pStyle w:val="33"/>
        <w:spacing w:before="0" w:after="360" w:line="360" w:lineRule="auto"/>
        <w:jc w:val="center"/>
        <w:rPr>
          <w:rFonts w:ascii="Times New Roman" w:hAnsi="Times New Roman" w:eastAsia="黑体"/>
          <w:b/>
          <w:color w:val="000000"/>
          <w:sz w:val="36"/>
        </w:rPr>
      </w:pPr>
      <w:r>
        <w:rPr>
          <w:rFonts w:ascii="Times New Roman" w:hAnsi="Times New Roman" w:eastAsia="黑体"/>
          <w:b/>
          <w:color w:val="000000"/>
          <w:sz w:val="36"/>
        </w:rPr>
        <w:t>（结合CSCO 2026版指南）</w:t>
      </w:r>
    </w:p>
    <w:p w14:paraId="7838E2FC">
      <w:pPr>
        <w:pStyle w:val="33"/>
        <w:spacing w:before="0" w:after="360" w:line="360" w:lineRule="auto"/>
        <w:jc w:val="center"/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</w:pPr>
      <w:r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  <w:t>白少华</w:t>
      </w:r>
    </w:p>
    <w:p w14:paraId="5B70CC14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个人观点，仅供参考，不作为具体诊疗依据，不承担任何法律后果。</w:t>
      </w:r>
    </w:p>
    <w:p w14:paraId="40F9B7A1">
      <w:pPr>
        <w:bidi w:val="0"/>
        <w:ind w:firstLine="330" w:firstLineChars="0"/>
        <w:jc w:val="left"/>
        <w:rPr>
          <w:rFonts w:hint="eastAsia"/>
          <w:lang w:val="en-US" w:eastAsia="zh-CN"/>
        </w:rPr>
      </w:pPr>
    </w:p>
    <w:p w14:paraId="71753367">
      <w:pPr>
        <w:pageBreakBefore/>
        <w:spacing w:before="0" w:after="240" w:line="360" w:lineRule="auto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目录</w:t>
      </w:r>
    </w:p>
    <w:p w14:paraId="1AED7D36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fldChar w:fldCharType="begin"/>
      </w:r>
      <w:r>
        <w:instrText xml:space="preserve"> HYPERLINK \l "_LarkToc00001" </w:instrText>
      </w:r>
      <w:r>
        <w:fldChar w:fldCharType="separate"/>
      </w:r>
      <w:r>
        <w:t>一、门诊阶段：肠镜/影像提示直肠癌可能，开</w:t>
      </w:r>
      <w:r>
        <w:rPr>
          <w:rFonts w:hint="eastAsia"/>
          <w:lang w:val="en-US" w:eastAsia="zh-CN"/>
        </w:rPr>
        <w:t>具</w:t>
      </w:r>
      <w:r>
        <w:t>住院证</w:t>
      </w:r>
      <w:r>
        <w:tab/>
      </w:r>
      <w:r>
        <w:fldChar w:fldCharType="begin"/>
      </w:r>
      <w:r>
        <w:instrText xml:space="preserve"> PAGEREF _LarkToc00001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8F37439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"_LarkToc00002" </w:instrText>
      </w:r>
      <w:r>
        <w:fldChar w:fldCharType="separate"/>
      </w:r>
      <w:r>
        <w:t>1. 门诊肠镜或影像提示直肠癌可能</w:t>
      </w:r>
      <w:r>
        <w:tab/>
      </w:r>
      <w:r>
        <w:fldChar w:fldCharType="begin"/>
      </w:r>
      <w:r>
        <w:instrText xml:space="preserve"> PAGEREF _LarkToc00002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5BFA26C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"_LarkToc00003" </w:instrText>
      </w:r>
      <w:r>
        <w:fldChar w:fldCharType="separate"/>
      </w:r>
      <w:r>
        <w:t>2. 门诊医生判断有住院指征</w:t>
      </w:r>
      <w:r>
        <w:tab/>
      </w:r>
      <w:r>
        <w:fldChar w:fldCharType="begin"/>
      </w:r>
      <w:r>
        <w:instrText xml:space="preserve"> PAGEREF _LarkToc00003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08CCB09E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"_LarkToc00004" </w:instrText>
      </w:r>
      <w:r>
        <w:fldChar w:fldCharType="separate"/>
      </w:r>
      <w:r>
        <w:t>3. 与患者沟通</w:t>
      </w:r>
      <w:r>
        <w:tab/>
      </w:r>
      <w:r>
        <w:fldChar w:fldCharType="begin"/>
      </w:r>
      <w:r>
        <w:instrText xml:space="preserve"> PAGEREF _LarkToc00004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140AC2B1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"_LarkToc00005" </w:instrText>
      </w:r>
      <w:r>
        <w:fldChar w:fldCharType="separate"/>
      </w:r>
      <w:r>
        <w:t>4. 办理入院</w:t>
      </w:r>
      <w:r>
        <w:tab/>
      </w:r>
      <w:r>
        <w:fldChar w:fldCharType="begin"/>
      </w:r>
      <w:r>
        <w:instrText xml:space="preserve"> PAGEREF _LarkToc00005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DECC522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"_LarkToc00006" </w:instrText>
      </w:r>
      <w:r>
        <w:fldChar w:fldCharType="separate"/>
      </w:r>
      <w:r>
        <w:t>二、住院后第1—3天：完善检查，追踪病理</w:t>
      </w:r>
      <w:r>
        <w:tab/>
      </w:r>
      <w:r>
        <w:fldChar w:fldCharType="begin"/>
      </w:r>
      <w:r>
        <w:instrText xml:space="preserve"> PAGEREF _LarkToc00006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D0C2121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"_LarkToc00007" </w:instrText>
      </w:r>
      <w:r>
        <w:fldChar w:fldCharType="separate"/>
      </w:r>
      <w:r>
        <w:t>1. 入院记录与查体</w:t>
      </w:r>
      <w:r>
        <w:tab/>
      </w:r>
      <w:r>
        <w:fldChar w:fldCharType="begin"/>
      </w:r>
      <w:r>
        <w:instrText xml:space="preserve"> PAGEREF _LarkToc00007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6400727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"_LarkToc00008" </w:instrText>
      </w:r>
      <w:r>
        <w:fldChar w:fldCharType="separate"/>
      </w:r>
      <w:r>
        <w:t>2. 追踪门诊病理</w:t>
      </w:r>
      <w:r>
        <w:tab/>
      </w:r>
      <w:r>
        <w:fldChar w:fldCharType="begin"/>
      </w:r>
      <w:r>
        <w:instrText xml:space="preserve"> PAGEREF _LarkToc00008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9D1CC15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"_LarkToc00009" </w:instrText>
      </w:r>
      <w:r>
        <w:fldChar w:fldCharType="separate"/>
      </w:r>
      <w:r>
        <w:t>3. 完善分期和术前检查</w:t>
      </w:r>
      <w:r>
        <w:tab/>
      </w:r>
      <w:r>
        <w:fldChar w:fldCharType="begin"/>
      </w:r>
      <w:r>
        <w:instrText xml:space="preserve"> PAGEREF _LarkToc00009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B8254E1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"_LarkToc00010" </w:instrText>
      </w:r>
      <w:r>
        <w:fldChar w:fldCharType="separate"/>
      </w:r>
      <w:r>
        <w:t>4. 分子病理检测</w:t>
      </w:r>
      <w:r>
        <w:tab/>
      </w:r>
      <w:r>
        <w:fldChar w:fldCharType="begin"/>
      </w:r>
      <w:r>
        <w:instrText xml:space="preserve"> PAGEREF _LarkToc00010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28007C3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"_LarkToc00011" </w:instrText>
      </w:r>
      <w:r>
        <w:fldChar w:fldCharType="separate"/>
      </w:r>
      <w:r>
        <w:t>5. MRI再评估（新辅助治疗前）</w:t>
      </w:r>
      <w:r>
        <w:tab/>
      </w:r>
      <w:r>
        <w:fldChar w:fldCharType="begin"/>
      </w:r>
      <w:r>
        <w:instrText xml:space="preserve"> PAGEREF _LarkToc00011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4060D082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"_LarkToc00012" </w:instrText>
      </w:r>
      <w:r>
        <w:fldChar w:fldCharType="separate"/>
      </w:r>
      <w:r>
        <w:t>三、住院第3—7天：确诊、危险度分层、MDT决策</w:t>
      </w:r>
      <w:r>
        <w:tab/>
      </w:r>
      <w:r>
        <w:fldChar w:fldCharType="begin"/>
      </w:r>
      <w:r>
        <w:instrText xml:space="preserve"> PAGEREF _LarkToc00012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1BCD7882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"_LarkToc00013" </w:instrText>
      </w:r>
      <w:r>
        <w:fldChar w:fldCharType="separate"/>
      </w:r>
      <w:r>
        <w:t>1. 病理确诊与临床分期</w:t>
      </w:r>
      <w:r>
        <w:tab/>
      </w:r>
      <w:r>
        <w:fldChar w:fldCharType="begin"/>
      </w:r>
      <w:r>
        <w:instrText xml:space="preserve"> PAGEREF _LarkToc00013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EBFEE4D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"_LarkToc00014" </w:instrText>
      </w:r>
      <w:r>
        <w:fldChar w:fldCharType="separate"/>
      </w:r>
      <w:r>
        <w:t>2. 基于MRI的危险度分层（2026版核心更新）</w:t>
      </w:r>
      <w:r>
        <w:tab/>
      </w:r>
      <w:r>
        <w:fldChar w:fldCharType="begin"/>
      </w:r>
      <w:r>
        <w:instrText xml:space="preserve"> PAGEREF _LarkToc00014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9B080C4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"_LarkToc00015" </w:instrText>
      </w:r>
      <w:r>
        <w:fldChar w:fldCharType="separate"/>
      </w:r>
      <w:r>
        <w:t>3. MDT多学科会诊</w:t>
      </w:r>
      <w:r>
        <w:tab/>
      </w:r>
      <w:r>
        <w:fldChar w:fldCharType="begin"/>
      </w:r>
      <w:r>
        <w:instrText xml:space="preserve"> PAGEREF _LarkToc00015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0830430C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"_LarkToc00016" </w:instrText>
      </w:r>
      <w:r>
        <w:fldChar w:fldCharType="separate"/>
      </w:r>
      <w:r>
        <w:t>4. 围手术期治疗方案制定（按危险度分层）</w:t>
      </w:r>
      <w:r>
        <w:tab/>
      </w:r>
      <w:r>
        <w:fldChar w:fldCharType="begin"/>
      </w:r>
      <w:r>
        <w:instrText xml:space="preserve"> PAGEREF _LarkToc00016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1374445D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"_LarkToc00017" </w:instrText>
      </w:r>
      <w:r>
        <w:fldChar w:fldCharType="separate"/>
      </w:r>
      <w:r>
        <w:t>四、治疗实施与术后管理</w:t>
      </w:r>
      <w:r>
        <w:tab/>
      </w:r>
      <w:r>
        <w:fldChar w:fldCharType="begin"/>
      </w:r>
      <w:r>
        <w:instrText xml:space="preserve"> PAGEREF _LarkToc00017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1DDC3420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"_LarkToc00018" </w:instrText>
      </w:r>
      <w:r>
        <w:fldChar w:fldCharType="separate"/>
      </w:r>
      <w:r>
        <w:t>1. 手术治疗</w:t>
      </w:r>
      <w:r>
        <w:tab/>
      </w:r>
      <w:r>
        <w:fldChar w:fldCharType="begin"/>
      </w:r>
      <w:r>
        <w:instrText xml:space="preserve"> PAGEREF _LarkToc00018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12F1475A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"_LarkToc00019" </w:instrText>
      </w:r>
      <w:r>
        <w:fldChar w:fldCharType="separate"/>
      </w:r>
      <w:r>
        <w:t>2. 围手术期管理</w:t>
      </w:r>
      <w:r>
        <w:tab/>
      </w:r>
      <w:r>
        <w:fldChar w:fldCharType="begin"/>
      </w:r>
      <w:r>
        <w:instrText xml:space="preserve"> PAGEREF _LarkToc00019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230DB5F6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"_LarkToc00020" </w:instrText>
      </w:r>
      <w:r>
        <w:fldChar w:fldCharType="separate"/>
      </w:r>
      <w:r>
        <w:t>3. 术后辅助化疗（2026版更新）</w:t>
      </w:r>
      <w:r>
        <w:tab/>
      </w:r>
      <w:r>
        <w:fldChar w:fldCharType="begin"/>
      </w:r>
      <w:r>
        <w:instrText xml:space="preserve"> PAGEREF _LarkToc00020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4504E1C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"_LarkToc00021" </w:instrText>
      </w:r>
      <w:r>
        <w:fldChar w:fldCharType="separate"/>
      </w:r>
      <w:r>
        <w:t>五、等待观察（Watch &amp; Wait）策略</w:t>
      </w:r>
      <w:r>
        <w:tab/>
      </w:r>
      <w:r>
        <w:fldChar w:fldCharType="begin"/>
      </w:r>
      <w:r>
        <w:instrText xml:space="preserve"> PAGEREF _LarkToc00021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3B91E069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"_LarkToc00022" </w:instrText>
      </w:r>
      <w:r>
        <w:fldChar w:fldCharType="separate"/>
      </w:r>
      <w:r>
        <w:t>1. 适用条件</w:t>
      </w:r>
      <w:r>
        <w:tab/>
      </w:r>
      <w:r>
        <w:fldChar w:fldCharType="begin"/>
      </w:r>
      <w:r>
        <w:instrText xml:space="preserve"> PAGEREF _LarkToc00022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4E957896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"_LarkToc00023" </w:instrText>
      </w:r>
      <w:r>
        <w:fldChar w:fldCharType="separate"/>
      </w:r>
      <w:r>
        <w:t>2. 近完全缓解（nearCR）的处理</w:t>
      </w:r>
      <w:r>
        <w:tab/>
      </w:r>
      <w:r>
        <w:fldChar w:fldCharType="begin"/>
      </w:r>
      <w:r>
        <w:instrText xml:space="preserve"> PAGEREF _LarkToc00023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36F365C2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"_LarkToc00024" </w:instrText>
      </w:r>
      <w:r>
        <w:fldChar w:fldCharType="separate"/>
      </w:r>
      <w:r>
        <w:t>3. 随访方案</w:t>
      </w:r>
      <w:r>
        <w:tab/>
      </w:r>
      <w:r>
        <w:fldChar w:fldCharType="begin"/>
      </w:r>
      <w:r>
        <w:instrText xml:space="preserve"> PAGEREF _LarkToc00024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5C928502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"_LarkToc00025" </w:instrText>
      </w:r>
      <w:r>
        <w:fldChar w:fldCharType="separate"/>
      </w:r>
      <w:r>
        <w:t>六、出院标准与随访</w:t>
      </w:r>
      <w:r>
        <w:tab/>
      </w:r>
      <w:r>
        <w:fldChar w:fldCharType="begin"/>
      </w:r>
      <w:r>
        <w:instrText xml:space="preserve"> PAGEREF _LarkToc00025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750C821B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"_LarkToc00026" </w:instrText>
      </w:r>
      <w:r>
        <w:fldChar w:fldCharType="separate"/>
      </w:r>
      <w:r>
        <w:t>出院标准</w:t>
      </w:r>
      <w:r>
        <w:tab/>
      </w:r>
      <w:r>
        <w:fldChar w:fldCharType="begin"/>
      </w:r>
      <w:r>
        <w:instrText xml:space="preserve"> PAGEREF _LarkToc00026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033D1009">
      <w:pPr>
        <w:pStyle w:val="29"/>
        <w:tabs>
          <w:tab w:val="right" w:leader="dot" w:pos="9072"/>
        </w:tabs>
      </w:pPr>
      <w:r>
        <w:fldChar w:fldCharType="begin"/>
      </w:r>
      <w:r>
        <w:instrText xml:space="preserve"> HYPERLINK \l "_LarkToc00027" </w:instrText>
      </w:r>
      <w:r>
        <w:fldChar w:fldCharType="separate"/>
      </w:r>
      <w:r>
        <w:t>随访计划（2026版指南）</w:t>
      </w:r>
      <w:r>
        <w:tab/>
      </w:r>
      <w:r>
        <w:fldChar w:fldCharType="begin"/>
      </w:r>
      <w:r>
        <w:instrText xml:space="preserve"> PAGEREF _LarkToc00027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3B05FC72">
      <w:pPr>
        <w:pStyle w:val="26"/>
        <w:tabs>
          <w:tab w:val="right" w:leader="dot" w:pos="9072"/>
        </w:tabs>
      </w:pPr>
      <w:r>
        <w:fldChar w:fldCharType="begin"/>
      </w:r>
      <w:r>
        <w:instrText xml:space="preserve"> HYPERLINK \l "_LarkToc00028" </w:instrText>
      </w:r>
      <w:r>
        <w:fldChar w:fldCharType="separate"/>
      </w:r>
      <w:r>
        <w:t>七、与非梗阻性结肠癌流程的核心差异总结</w:t>
      </w:r>
      <w:r>
        <w:tab/>
      </w:r>
      <w:r>
        <w:fldChar w:fldCharType="begin"/>
      </w:r>
      <w:r>
        <w:instrText xml:space="preserve"> PAGEREF _LarkToc00028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  <w:r>
        <w:fldChar w:fldCharType="end"/>
      </w:r>
    </w:p>
    <w:p w14:paraId="14FE40CE">
      <w:r>
        <w:br w:type="page"/>
      </w:r>
    </w:p>
    <w:p w14:paraId="417EF989">
      <w:pPr>
        <w:spacing w:before="0" w:after="0" w:line="360" w:lineRule="auto"/>
        <w:ind w:firstLine="482"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核心修订说明</w:t>
      </w:r>
      <w:r>
        <w:rPr>
          <w:rFonts w:ascii="Times New Roman" w:hAnsi="Times New Roman" w:eastAsia="宋体"/>
          <w:b w:val="0"/>
          <w:color w:val="000000"/>
          <w:sz w:val="24"/>
        </w:rPr>
        <w:t>：直肠癌与结肠癌的核心区别在于：</w:t>
      </w:r>
      <w:r>
        <w:rPr>
          <w:rFonts w:ascii="Times New Roman" w:hAnsi="Times New Roman" w:eastAsia="宋体"/>
          <w:b/>
          <w:color w:val="000000"/>
          <w:sz w:val="24"/>
        </w:rPr>
        <w:t>放疗在围手术期治疗中占据核心地位，手术以全直肠系膜切除（TME）为金标准，器官保留和功能保全（保肛、保功能）是治疗决策的重要目标</w:t>
      </w:r>
      <w:r>
        <w:rPr>
          <w:rFonts w:ascii="Times New Roman" w:hAnsi="Times New Roman" w:eastAsia="宋体"/>
          <w:b w:val="0"/>
          <w:color w:val="000000"/>
          <w:sz w:val="24"/>
        </w:rPr>
        <w:t>。2026版CSCO指南/ESMO危险度分层强调：①基于MRI影像参照ESMO危险度分级标准实现五层级精准分层；②明确“等待观察”策略的适用标准和评估流程；③局部切除术纳入器官保留策略；④全程新辅助治疗（TNT）模式的适应证进一步明确；⑤dMMR/MSI-H患者优先新辅助免疫治疗。</w:t>
      </w:r>
    </w:p>
    <w:p w14:paraId="08B4ADA3">
      <w:pPr>
        <w:pStyle w:val="3"/>
        <w:keepNext/>
        <w:spacing w:before="280" w:after="120" w:line="360" w:lineRule="auto"/>
      </w:pPr>
      <w:bookmarkStart w:id="0" w:name="_LarkToc00001"/>
      <w:r>
        <w:rPr>
          <w:rFonts w:ascii="Times New Roman" w:hAnsi="Times New Roman" w:eastAsia="黑体"/>
          <w:b/>
          <w:color w:val="000000"/>
          <w:sz w:val="32"/>
        </w:rPr>
        <w:t>一、门诊阶段：肠镜/影像提示直肠癌可能，开</w:t>
      </w:r>
      <w:r>
        <w:rPr>
          <w:rFonts w:hint="eastAsia" w:ascii="Times New Roman" w:hAnsi="Times New Roman" w:eastAsia="黑体"/>
          <w:b/>
          <w:color w:val="000000"/>
          <w:sz w:val="32"/>
          <w:lang w:val="en-US" w:eastAsia="zh-CN"/>
        </w:rPr>
        <w:t>具</w:t>
      </w:r>
      <w:r>
        <w:rPr>
          <w:rFonts w:ascii="Times New Roman" w:hAnsi="Times New Roman" w:eastAsia="黑体"/>
          <w:b/>
          <w:color w:val="000000"/>
          <w:sz w:val="32"/>
        </w:rPr>
        <w:t>住院证</w:t>
      </w:r>
      <w:bookmarkEnd w:id="0"/>
    </w:p>
    <w:p w14:paraId="086109E1">
      <w:pPr>
        <w:pStyle w:val="4"/>
        <w:keepNext/>
        <w:spacing w:before="220" w:after="100" w:line="360" w:lineRule="auto"/>
      </w:pPr>
      <w:bookmarkStart w:id="1" w:name="_LarkToc00002"/>
      <w:r>
        <w:rPr>
          <w:rFonts w:ascii="Times New Roman" w:hAnsi="Times New Roman" w:eastAsia="黑体"/>
          <w:b/>
          <w:color w:val="000000"/>
          <w:sz w:val="28"/>
        </w:rPr>
        <w:t>1. 门诊肠镜或影像提示直肠癌可能</w:t>
      </w:r>
      <w:bookmarkEnd w:id="1"/>
    </w:p>
    <w:p w14:paraId="4440ED8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门诊肠镜发现直肠占位、溃疡、菜花样病变，或门诊MRI/CT提示直肠壁增厚、占位，考虑直肠癌可能，常规取活检送病理。</w:t>
      </w:r>
    </w:p>
    <w:p w14:paraId="22179A9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若门诊未取活检或需复查，住院后尽快安排肠镜+活检。</w:t>
      </w:r>
    </w:p>
    <w:p w14:paraId="26C3FEA6">
      <w:pPr>
        <w:pStyle w:val="4"/>
        <w:keepNext/>
        <w:spacing w:before="220" w:after="100" w:line="360" w:lineRule="auto"/>
      </w:pPr>
      <w:bookmarkStart w:id="2" w:name="_LarkToc00003"/>
      <w:r>
        <w:rPr>
          <w:rFonts w:ascii="Times New Roman" w:hAnsi="Times New Roman" w:eastAsia="黑体"/>
          <w:b/>
          <w:color w:val="000000"/>
          <w:sz w:val="28"/>
        </w:rPr>
        <w:t>2. 门诊医生判断有住院指征</w:t>
      </w:r>
      <w:bookmarkEnd w:id="2"/>
    </w:p>
    <w:p w14:paraId="53518E12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入院诊：</w:t>
      </w:r>
      <w:r>
        <w:rPr>
          <w:rFonts w:ascii="Times New Roman" w:hAnsi="Times New Roman" w:eastAsia="宋体"/>
          <w:b/>
          <w:color w:val="000000"/>
          <w:sz w:val="24"/>
        </w:rPr>
        <w:t>直肠占位性病变：直肠癌待排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403542F2">
      <w:pPr>
        <w:pStyle w:val="4"/>
        <w:keepNext/>
        <w:spacing w:before="220" w:after="100" w:line="360" w:lineRule="auto"/>
      </w:pPr>
      <w:bookmarkStart w:id="3" w:name="_LarkToc00004"/>
      <w:r>
        <w:rPr>
          <w:rFonts w:ascii="Times New Roman" w:hAnsi="Times New Roman" w:eastAsia="黑体"/>
          <w:b/>
          <w:color w:val="000000"/>
          <w:sz w:val="28"/>
        </w:rPr>
        <w:t>3. 与患者沟通</w:t>
      </w:r>
      <w:bookmarkEnd w:id="3"/>
    </w:p>
    <w:p w14:paraId="74F203C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告知患者住院后追踪病理，完善盆腔高分辨率MRI等分期检查，确诊后由MDT制定围手术期治疗方案。门诊已做检查资料带入病房，避免重复检查。</w:t>
      </w:r>
    </w:p>
    <w:p w14:paraId="369AC35F">
      <w:pPr>
        <w:pStyle w:val="4"/>
        <w:keepNext/>
        <w:spacing w:before="220" w:after="100" w:line="360" w:lineRule="auto"/>
      </w:pPr>
      <w:bookmarkStart w:id="4" w:name="_LarkToc00005"/>
      <w:r>
        <w:rPr>
          <w:rFonts w:ascii="Times New Roman" w:hAnsi="Times New Roman" w:eastAsia="黑体"/>
          <w:b/>
          <w:color w:val="000000"/>
          <w:sz w:val="28"/>
        </w:rPr>
        <w:t>4. 办理入院</w:t>
      </w:r>
      <w:bookmarkEnd w:id="4"/>
    </w:p>
    <w:p w14:paraId="765CD554">
      <w:pPr>
        <w:pStyle w:val="16"/>
        <w:spacing w:before="0" w:after="0" w:line="360" w:lineRule="auto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收治科室通常为</w:t>
      </w:r>
      <w:r>
        <w:rPr>
          <w:rFonts w:ascii="Times New Roman" w:hAnsi="Times New Roman" w:eastAsia="宋体"/>
          <w:b/>
          <w:color w:val="000000"/>
          <w:sz w:val="24"/>
        </w:rPr>
        <w:t>结直肠</w:t>
      </w:r>
      <w:r>
        <w:rPr>
          <w:rFonts w:hint="eastAsia" w:ascii="Times New Roman" w:hAnsi="Times New Roman" w:eastAsia="宋体"/>
          <w:b/>
          <w:color w:val="000000"/>
          <w:sz w:val="24"/>
          <w:lang w:val="en-US" w:eastAsia="zh-CN"/>
        </w:rPr>
        <w:t>肛门</w:t>
      </w:r>
      <w:r>
        <w:rPr>
          <w:rFonts w:ascii="Times New Roman" w:hAnsi="Times New Roman" w:eastAsia="宋体"/>
          <w:b/>
          <w:color w:val="000000"/>
          <w:sz w:val="24"/>
        </w:rPr>
        <w:t>外科、胃肠外科</w:t>
      </w:r>
      <w:bookmarkStart w:id="5" w:name="_LarkToc00006"/>
    </w:p>
    <w:p w14:paraId="663EA2A3">
      <w:pPr>
        <w:pStyle w:val="16"/>
        <w:spacing w:before="0" w:after="0" w:line="360" w:lineRule="auto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持住院证到入院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处（住院部一楼）</w:t>
      </w:r>
      <w:r>
        <w:rPr>
          <w:rFonts w:ascii="Times New Roman" w:hAnsi="Times New Roman" w:eastAsia="宋体"/>
          <w:b w:val="0"/>
          <w:color w:val="000000"/>
          <w:sz w:val="24"/>
        </w:rPr>
        <w:t>或病区办理手续，完成医保登记</w:t>
      </w:r>
    </w:p>
    <w:p w14:paraId="3494DA51">
      <w:pPr>
        <w:pStyle w:val="3"/>
        <w:keepNext/>
        <w:spacing w:before="280" w:after="120" w:line="360" w:lineRule="auto"/>
      </w:pPr>
      <w:r>
        <w:rPr>
          <w:rFonts w:ascii="Times New Roman" w:hAnsi="Times New Roman" w:eastAsia="黑体"/>
          <w:b/>
          <w:color w:val="000000"/>
          <w:sz w:val="32"/>
        </w:rPr>
        <w:t>二、住院后第1—3天：完善检查，追踪病理</w:t>
      </w:r>
      <w:bookmarkEnd w:id="5"/>
    </w:p>
    <w:p w14:paraId="0EA86E17">
      <w:pPr>
        <w:pStyle w:val="4"/>
        <w:keepNext/>
        <w:spacing w:before="220" w:after="100" w:line="360" w:lineRule="auto"/>
      </w:pPr>
      <w:bookmarkStart w:id="6" w:name="_LarkToc00007"/>
      <w:r>
        <w:rPr>
          <w:rFonts w:ascii="Times New Roman" w:hAnsi="Times New Roman" w:eastAsia="黑体"/>
          <w:b/>
          <w:color w:val="000000"/>
          <w:sz w:val="28"/>
        </w:rPr>
        <w:t>1. 入院记录与查体</w:t>
      </w:r>
      <w:bookmarkEnd w:id="6"/>
    </w:p>
    <w:p w14:paraId="5113225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重点记录：肿瘤下缘距肛缘距离（指诊评估）、肛门括约肌功能、有无便血/排便习惯改变/里急后重。</w:t>
      </w:r>
    </w:p>
    <w:p w14:paraId="0F67607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病程记录体现：门诊肠镜/影像提示直肠癌可能，需住院进一步明确诊断、分期及围手术期治疗。</w:t>
      </w:r>
    </w:p>
    <w:p w14:paraId="5E1CFCA4">
      <w:pPr>
        <w:pStyle w:val="4"/>
        <w:keepNext/>
        <w:spacing w:before="220" w:after="100" w:line="360" w:lineRule="auto"/>
      </w:pPr>
      <w:bookmarkStart w:id="7" w:name="_LarkToc00008"/>
      <w:r>
        <w:rPr>
          <w:rFonts w:ascii="Times New Roman" w:hAnsi="Times New Roman" w:eastAsia="黑体"/>
          <w:b/>
          <w:color w:val="000000"/>
          <w:sz w:val="28"/>
        </w:rPr>
        <w:t>2. 追踪门诊病理</w:t>
      </w:r>
      <w:bookmarkEnd w:id="7"/>
    </w:p>
    <w:p w14:paraId="2EFF058E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如门诊肠镜已取活检，住院后重点追踪病理报告。如未取活检或需复查，住院后尽快安排肠镜+活检。</w:t>
      </w:r>
    </w:p>
    <w:p w14:paraId="2AF949AB">
      <w:pPr>
        <w:pStyle w:val="4"/>
        <w:keepNext/>
        <w:spacing w:before="220" w:after="100" w:line="360" w:lineRule="auto"/>
      </w:pPr>
      <w:bookmarkStart w:id="8" w:name="_LarkToc00009"/>
      <w:r>
        <w:rPr>
          <w:rFonts w:ascii="Times New Roman" w:hAnsi="Times New Roman" w:eastAsia="黑体"/>
          <w:b/>
          <w:color w:val="000000"/>
          <w:sz w:val="28"/>
        </w:rPr>
        <w:t>3. 完善分期和术前检查</w:t>
      </w:r>
      <w:bookmarkEnd w:id="8"/>
    </w:p>
    <w:p w14:paraId="41D463B1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必须完善的检查：</w:t>
      </w:r>
    </w:p>
    <w:p w14:paraId="3472A040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实验室</w:t>
      </w:r>
      <w:r>
        <w:rPr>
          <w:rFonts w:ascii="Times New Roman" w:hAnsi="Times New Roman" w:eastAsia="宋体"/>
          <w:b w:val="0"/>
          <w:color w:val="000000"/>
          <w:sz w:val="24"/>
        </w:rPr>
        <w:t>：血常规、肝肾功能、电解质、凝血、血型、感染筛查、肿瘤标志物CEA、CA19-9；</w:t>
      </w:r>
    </w:p>
    <w:p w14:paraId="3C9B2EAA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盆腔高分辨率MRI</w:t>
      </w:r>
      <w:r>
        <w:rPr>
          <w:rFonts w:ascii="Times New Roman" w:hAnsi="Times New Roman" w:eastAsia="宋体"/>
          <w:b w:val="0"/>
          <w:color w:val="000000"/>
          <w:sz w:val="24"/>
        </w:rPr>
        <w:t>：直肠癌分期和风险分层的</w:t>
      </w:r>
      <w:r>
        <w:rPr>
          <w:rFonts w:ascii="Times New Roman" w:hAnsi="Times New Roman" w:eastAsia="宋体"/>
          <w:b/>
          <w:color w:val="000000"/>
          <w:sz w:val="24"/>
        </w:rPr>
        <w:t>核心检查</w:t>
      </w:r>
      <w:r>
        <w:rPr>
          <w:rFonts w:ascii="Times New Roman" w:hAnsi="Times New Roman" w:eastAsia="宋体"/>
          <w:b w:val="0"/>
          <w:color w:val="000000"/>
          <w:sz w:val="24"/>
        </w:rPr>
        <w:t>，用于评估肿瘤浸润深度（T分期）、直肠系膜筋膜（MRF）受累、壁外血管侵犯（EMVI）、癌结节（TD）及侧方淋巴结状态；</w:t>
      </w:r>
    </w:p>
    <w:p w14:paraId="5BC2DC62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胸部CT、腹部增强CT</w:t>
      </w:r>
      <w:r>
        <w:rPr>
          <w:rFonts w:ascii="Times New Roman" w:hAnsi="Times New Roman" w:eastAsia="宋体"/>
          <w:b w:val="0"/>
          <w:color w:val="000000"/>
          <w:sz w:val="24"/>
        </w:rPr>
        <w:t>：评估远处转移；</w:t>
      </w:r>
    </w:p>
    <w:p w14:paraId="2C5835E6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结肠镜</w:t>
      </w:r>
      <w:r>
        <w:rPr>
          <w:rFonts w:ascii="Times New Roman" w:hAnsi="Times New Roman" w:eastAsia="宋体"/>
          <w:b w:val="0"/>
          <w:color w:val="000000"/>
          <w:sz w:val="24"/>
        </w:rPr>
        <w:t>：排除同时性多原发癌；</w:t>
      </w:r>
    </w:p>
    <w:p w14:paraId="439D6941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心肺功能</w:t>
      </w:r>
      <w:r>
        <w:rPr>
          <w:rFonts w:ascii="Times New Roman" w:hAnsi="Times New Roman" w:eastAsia="宋体"/>
          <w:b w:val="0"/>
          <w:color w:val="000000"/>
          <w:sz w:val="24"/>
        </w:rPr>
        <w:t>：心电图、心脏超声、肺功能；</w:t>
      </w:r>
    </w:p>
    <w:p w14:paraId="2F831122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营养评估与肛门功能评估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2676CF39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临床怀疑转移但其他影像检查无法确诊或重大治疗决策前，可考虑PET/CT，但不作为常规检查。</w:t>
      </w:r>
    </w:p>
    <w:p w14:paraId="2C93249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肝脏MRI平扫+增强：CT不能确诊肝转移或重大决策前。</w:t>
      </w:r>
    </w:p>
    <w:p w14:paraId="2D40F62A">
      <w:pPr>
        <w:pStyle w:val="4"/>
        <w:keepNext/>
        <w:spacing w:before="220" w:after="100" w:line="360" w:lineRule="auto"/>
      </w:pPr>
      <w:bookmarkStart w:id="9" w:name="_LarkToc00010"/>
      <w:r>
        <w:rPr>
          <w:rFonts w:ascii="Times New Roman" w:hAnsi="Times New Roman" w:eastAsia="黑体"/>
          <w:b/>
          <w:color w:val="000000"/>
          <w:sz w:val="28"/>
        </w:rPr>
        <w:t>4. 分子病理检测</w:t>
      </w:r>
      <w:bookmarkEnd w:id="9"/>
    </w:p>
    <w:p w14:paraId="03E5E74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所有确诊患者必须进行</w:t>
      </w:r>
      <w:r>
        <w:rPr>
          <w:rFonts w:ascii="Times New Roman" w:hAnsi="Times New Roman" w:eastAsia="宋体"/>
          <w:b/>
          <w:color w:val="000000"/>
          <w:sz w:val="24"/>
        </w:rPr>
        <w:t>MMR/MSI检测</w:t>
      </w:r>
      <w:r>
        <w:rPr>
          <w:rFonts w:ascii="Times New Roman" w:hAnsi="Times New Roman" w:eastAsia="宋体"/>
          <w:b w:val="0"/>
          <w:color w:val="000000"/>
          <w:sz w:val="24"/>
        </w:rPr>
        <w:t>。转移性患者另需RAS、BRAF基因状态检测。</w:t>
      </w:r>
    </w:p>
    <w:p w14:paraId="5A0A69C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dMMR/MSI-H状态直接决定围手术期免疫治疗路径。对于局部进展期直肠癌，特别是保肛困难或T4b无法R0切除者，推荐新辅助免疫治疗后再MDT评估手术时机和方案。</w:t>
      </w:r>
    </w:p>
    <w:p w14:paraId="1A44821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标准治疗失败或转移性患者，有条件可检测HER-2状态、NTRK/RET融合、POLE/POLD1基因突变等。</w:t>
      </w:r>
    </w:p>
    <w:p w14:paraId="6D980826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HER-2状态、NTRK和RET融合、POLE/POLD1基因突变检测</w:t>
      </w:r>
      <w:r>
        <w:rPr>
          <w:rFonts w:ascii="Times New Roman" w:hAnsi="Times New Roman" w:eastAsia="宋体"/>
          <w:b w:val="0"/>
          <w:color w:val="000000"/>
          <w:sz w:val="24"/>
        </w:rPr>
        <w:t>：有条件的情况下，对标准治疗后失败的结直肠癌患者可以进行检测。</w:t>
      </w:r>
    </w:p>
    <w:p w14:paraId="1CD612B7">
      <w:pPr>
        <w:pStyle w:val="4"/>
        <w:keepNext/>
        <w:spacing w:before="220" w:after="100" w:line="360" w:lineRule="auto"/>
      </w:pPr>
      <w:bookmarkStart w:id="10" w:name="_LarkToc00011"/>
      <w:r>
        <w:rPr>
          <w:rFonts w:ascii="Times New Roman" w:hAnsi="Times New Roman" w:eastAsia="黑体"/>
          <w:b/>
          <w:color w:val="000000"/>
          <w:sz w:val="28"/>
        </w:rPr>
        <w:t>5. MRI再评估（新辅助治疗前）</w:t>
      </w:r>
      <w:bookmarkEnd w:id="10"/>
    </w:p>
    <w:p w14:paraId="579DFB8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2026版指南推荐直肠癌治疗前后的盆腔MRI扫描参数及角度保持一致，T2WI和DWI扫描方位相同，小FOV涵盖肿瘤，大FOV涵盖盆腔以评价侧方及非区域淋巴结。</w:t>
      </w:r>
    </w:p>
    <w:p w14:paraId="1288F13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推荐新辅助放化疗后6—8周行第一次影像检查；如判断为near-cCR或期望等待观察，可在第6—10周再次评价。</w:t>
      </w:r>
    </w:p>
    <w:p w14:paraId="4B967BA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推荐结合多角度扫描测量肿瘤床，包含纤维及黏液成分，最大长径和最大厚度，肿瘤床下缘与肛缘及耻骨直肠肌下缘距离。</w:t>
      </w:r>
    </w:p>
    <w:p w14:paraId="67578AB4">
      <w:pPr>
        <w:pStyle w:val="3"/>
        <w:keepNext/>
        <w:spacing w:before="280" w:after="120" w:line="360" w:lineRule="auto"/>
      </w:pPr>
      <w:bookmarkStart w:id="11" w:name="_LarkToc00012"/>
      <w:r>
        <w:rPr>
          <w:rFonts w:ascii="Times New Roman" w:hAnsi="Times New Roman" w:eastAsia="黑体"/>
          <w:b/>
          <w:color w:val="000000"/>
          <w:sz w:val="32"/>
        </w:rPr>
        <w:t>三、住院第3—7天：确诊、危险度分层、MDT决策</w:t>
      </w:r>
      <w:bookmarkEnd w:id="11"/>
    </w:p>
    <w:p w14:paraId="1E4444B1">
      <w:pPr>
        <w:pStyle w:val="4"/>
        <w:keepNext/>
        <w:spacing w:before="220" w:after="100" w:line="360" w:lineRule="auto"/>
      </w:pPr>
      <w:bookmarkStart w:id="12" w:name="_LarkToc00013"/>
      <w:r>
        <w:rPr>
          <w:rFonts w:ascii="Times New Roman" w:hAnsi="Times New Roman" w:eastAsia="黑体"/>
          <w:b/>
          <w:color w:val="000000"/>
          <w:sz w:val="28"/>
        </w:rPr>
        <w:t>1. 病理确诊与临床分期</w:t>
      </w:r>
      <w:bookmarkEnd w:id="12"/>
    </w:p>
    <w:p w14:paraId="56ED40F1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明确是否为直肠癌、类型、分化程度、Lauren分型（如适用）、肿瘤出芽、脉管/神经侵犯等。</w:t>
      </w:r>
    </w:p>
    <w:p w14:paraId="0B3906F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结合CT、MRI判断临床分期；采用AJCC/UICC第8版TNM分期。</w:t>
      </w:r>
    </w:p>
    <w:p w14:paraId="075261BB">
      <w:pPr>
        <w:pStyle w:val="4"/>
        <w:keepNext/>
        <w:spacing w:before="220" w:after="100" w:line="360" w:lineRule="auto"/>
      </w:pPr>
      <w:bookmarkStart w:id="13" w:name="_LarkToc00014"/>
      <w:r>
        <w:rPr>
          <w:rFonts w:ascii="Times New Roman" w:hAnsi="Times New Roman" w:eastAsia="黑体"/>
          <w:b/>
          <w:color w:val="000000"/>
          <w:sz w:val="28"/>
        </w:rPr>
        <w:t>2. 基于MRI的危险度分层（2026版核心更新）</w:t>
      </w:r>
      <w:bookmarkEnd w:id="13"/>
    </w:p>
    <w:p w14:paraId="280D1B9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2026版指南依托MRI，参照ESMO危险度分级标准，将直肠癌患者分为五层级：</w:t>
      </w:r>
    </w:p>
    <w:p w14:paraId="51BF301C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1. 极低度风险</w:t>
      </w:r>
      <w:r>
        <w:rPr>
          <w:rFonts w:ascii="Times New Roman" w:hAnsi="Times New Roman" w:eastAsia="宋体"/>
          <w:b w:val="0"/>
          <w:color w:val="000000"/>
          <w:sz w:val="24"/>
        </w:rPr>
        <w:t>：cT1，SM1，cN0；</w:t>
      </w:r>
    </w:p>
    <w:p w14:paraId="0B8A7BAD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2. 低度风险</w:t>
      </w:r>
      <w:r>
        <w:rPr>
          <w:rFonts w:ascii="Times New Roman" w:hAnsi="Times New Roman" w:eastAsia="宋体"/>
          <w:b w:val="0"/>
          <w:color w:val="000000"/>
          <w:sz w:val="24"/>
        </w:rPr>
        <w:t>：cT1—cT2，中/高位T3a/b，cN0（或高位cN1）；MRF-；EMVI-；</w:t>
      </w:r>
    </w:p>
    <w:p w14:paraId="0257C513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3. 中度风险</w:t>
      </w:r>
      <w:r>
        <w:rPr>
          <w:rFonts w:ascii="Times New Roman" w:hAnsi="Times New Roman" w:eastAsia="宋体"/>
          <w:b w:val="0"/>
          <w:color w:val="000000"/>
          <w:sz w:val="24"/>
        </w:rPr>
        <w:t>：极低位/中/高位cT3a/b，未累及肛提肌；cN1—N2（非结外种植）；MRF-；EMVI-；</w:t>
      </w:r>
    </w:p>
    <w:p w14:paraId="789D4CA2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4. 高度风险</w:t>
      </w:r>
      <w:r>
        <w:rPr>
          <w:rFonts w:ascii="Times New Roman" w:hAnsi="Times New Roman" w:eastAsia="宋体"/>
          <w:b w:val="0"/>
          <w:color w:val="000000"/>
          <w:sz w:val="24"/>
        </w:rPr>
        <w:t>：cT3c/d或极低位，未累及肛提肌；cN1—N2（结外种植）；MRF-；EMVI+；</w:t>
      </w:r>
    </w:p>
    <w:p w14:paraId="3C1DB970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5. 极高度风险</w:t>
      </w:r>
      <w:r>
        <w:rPr>
          <w:rFonts w:ascii="Times New Roman" w:hAnsi="Times New Roman" w:eastAsia="宋体"/>
          <w:b w:val="0"/>
          <w:color w:val="000000"/>
          <w:sz w:val="24"/>
        </w:rPr>
        <w:t>：cT3且MRF+；cT4b，累及肛提肌；侧方淋巴结阳性。</w:t>
      </w:r>
    </w:p>
    <w:p w14:paraId="0409D233">
      <w:pPr>
        <w:pStyle w:val="4"/>
        <w:keepNext/>
        <w:spacing w:before="220" w:after="100" w:line="360" w:lineRule="auto"/>
      </w:pPr>
      <w:bookmarkStart w:id="14" w:name="_LarkToc00015"/>
      <w:r>
        <w:rPr>
          <w:rFonts w:ascii="Times New Roman" w:hAnsi="Times New Roman" w:eastAsia="黑体"/>
          <w:b/>
          <w:color w:val="000000"/>
          <w:sz w:val="28"/>
        </w:rPr>
        <w:t>3. MDT多学科会诊</w:t>
      </w:r>
      <w:bookmarkEnd w:id="14"/>
    </w:p>
    <w:p w14:paraId="7974385C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结直肠外科、肿瘤内科、放疗科、影像科、病理科共同讨论，围绕</w:t>
      </w:r>
      <w:r>
        <w:rPr>
          <w:rFonts w:ascii="Times New Roman" w:hAnsi="Times New Roman" w:eastAsia="宋体"/>
          <w:b/>
          <w:color w:val="000000"/>
          <w:sz w:val="24"/>
        </w:rPr>
        <w:t>根治、保肛、保功能</w:t>
      </w:r>
      <w:r>
        <w:rPr>
          <w:rFonts w:ascii="Times New Roman" w:hAnsi="Times New Roman" w:eastAsia="宋体"/>
          <w:b w:val="0"/>
          <w:color w:val="000000"/>
          <w:sz w:val="24"/>
        </w:rPr>
        <w:t>三重目标制定个体化方案。</w:t>
      </w:r>
    </w:p>
    <w:p w14:paraId="47051D7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MDT讨论内容：中低位直肠癌患者需要特殊辅助治疗决策的患者、直肠癌局部复发患者、转移瘤潜在可切除的患者等。</w:t>
      </w:r>
    </w:p>
    <w:p w14:paraId="64EA9F19">
      <w:pPr>
        <w:pStyle w:val="4"/>
        <w:keepNext/>
        <w:spacing w:before="220" w:after="100" w:line="360" w:lineRule="auto"/>
      </w:pPr>
      <w:bookmarkStart w:id="15" w:name="_LarkToc00016"/>
      <w:r>
        <w:rPr>
          <w:rFonts w:ascii="Times New Roman" w:hAnsi="Times New Roman" w:eastAsia="黑体"/>
          <w:b/>
          <w:color w:val="000000"/>
          <w:sz w:val="28"/>
        </w:rPr>
        <w:t>4. 围手术期治疗方案制定（按危险度分层）</w:t>
      </w:r>
      <w:bookmarkEnd w:id="15"/>
    </w:p>
    <w:p w14:paraId="0A298FB4">
      <w:pPr>
        <w:pStyle w:val="5"/>
        <w:keepNext/>
        <w:spacing w:before="18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（1）早期直肠癌（cT1—2N0M0，极低度/低度风险）</w:t>
      </w:r>
    </w:p>
    <w:p w14:paraId="6A245F90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cT1N0，保留肛门括约肌有困难：</w:t>
      </w:r>
    </w:p>
    <w:p w14:paraId="37F3125E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：经肛门局部切除；直肠癌根治术；</w:t>
      </w:r>
    </w:p>
    <w:p w14:paraId="517C3693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Ⅱ级推荐</w:t>
      </w:r>
      <w:r>
        <w:rPr>
          <w:rFonts w:ascii="Times New Roman" w:hAnsi="Times New Roman" w:eastAsia="宋体"/>
          <w:b w:val="0"/>
          <w:color w:val="000000"/>
          <w:sz w:val="24"/>
        </w:rPr>
        <w:t>：如患者有强烈保肛意愿，同步放化疗，如果达cCR可观察等待；ycT1可经肛门局部切除。</w:t>
      </w:r>
    </w:p>
    <w:p w14:paraId="40BDA535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cT1N0，保留肛门括约肌无困难：</w:t>
      </w:r>
    </w:p>
    <w:p w14:paraId="1F2886E7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：直肠癌根治术；</w:t>
      </w:r>
    </w:p>
    <w:p w14:paraId="05EBE72D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Ⅱ级推荐</w:t>
      </w:r>
      <w:r>
        <w:rPr>
          <w:rFonts w:ascii="Times New Roman" w:hAnsi="Times New Roman" w:eastAsia="宋体"/>
          <w:b w:val="0"/>
          <w:color w:val="000000"/>
          <w:sz w:val="24"/>
        </w:rPr>
        <w:t>：如患者有强烈保肛意愿，术前同步放化疗，如果达cCR可观察等待；ycT1经肛门局部切除，ycT2行直肠癌根治术。</w:t>
      </w:r>
    </w:p>
    <w:p w14:paraId="44C97E83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cT1—2N0，保留肛门括约肌无困难：</w:t>
      </w:r>
    </w:p>
    <w:p w14:paraId="2D56466C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：直肠癌根治术。</w:t>
      </w:r>
    </w:p>
    <w:p w14:paraId="4B348665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cT1—2N0，存在无法手术的医学因素：</w:t>
      </w:r>
    </w:p>
    <w:p w14:paraId="1F299F88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：同步放化疗；短程放疗±化疗。</w:t>
      </w:r>
    </w:p>
    <w:p w14:paraId="26771F7C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局部切除术后病理危险因素：</w:t>
      </w:r>
    </w:p>
    <w:p w14:paraId="1023513E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肿瘤组织学分化差、脉管浸润、切缘阳性、肿瘤浸润超过黏膜下肌层外1/3（SM3级）、黏膜下层浸润&gt;1mm或T2期肿瘤，需挽救性直肠癌根治术。如不接受挽救性手术，应行放化疗。</w:t>
      </w:r>
    </w:p>
    <w:p w14:paraId="234084B0">
      <w:pPr>
        <w:pStyle w:val="5"/>
        <w:keepNext/>
        <w:spacing w:before="18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（2）局部进展期直肠癌（cT3/cT4或N+）</w:t>
      </w:r>
    </w:p>
    <w:p w14:paraId="17F0C63C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pMMR/MSS或MMR/MS状态不明：</w:t>
      </w:r>
    </w:p>
    <w:p w14:paraId="346801B2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cT1，任何N且MRF-；cT1—2，N1，保留肛门括约肌无困难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284C02CB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：同步放化疗±间隔期化疗（再次评估）+直肠癌根治术+辅助化疗（1A类）；</w:t>
      </w:r>
    </w:p>
    <w:p w14:paraId="62B100AC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Ⅱ级推荐</w:t>
      </w:r>
      <w:r>
        <w:rPr>
          <w:rFonts w:ascii="Times New Roman" w:hAnsi="Times New Roman" w:eastAsia="宋体"/>
          <w:b w:val="0"/>
          <w:color w:val="000000"/>
          <w:sz w:val="24"/>
        </w:rPr>
        <w:t>：短程放疗+直肠癌根治术+辅助化疗（1B类）；直肠癌根治术±辅助治疗；放/化疗+化疗联合免疫（再次评估）+直肠癌根治术（1B类）。</w:t>
      </w:r>
    </w:p>
    <w:p w14:paraId="54F3421D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保留肛门括约肌有困难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754CEFF4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：同步放化疗±间隔期化疗（再次评估）+直肠癌根治术+辅助化疗（1A类）；</w:t>
      </w:r>
    </w:p>
    <w:p w14:paraId="57AD0828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Ⅱ级推荐</w:t>
      </w:r>
      <w:r>
        <w:rPr>
          <w:rFonts w:ascii="Times New Roman" w:hAnsi="Times New Roman" w:eastAsia="宋体"/>
          <w:b w:val="0"/>
          <w:color w:val="000000"/>
          <w:sz w:val="24"/>
        </w:rPr>
        <w:t>：化疗+同步放化疗（再次评估）+直肠癌根治术±化疗（1B类）；强化同期放化疗方案（卡培他滨联合伊立替康的同步放化疗）（再次评估）+直肠癌根治术+辅助化疗（1B类）；短程放疗+12—16周化疗+直肠癌根治术（1B类）；放/化疗+化疗联合免疫（再次评估）+直肠癌根治术（1B类）。</w:t>
      </w:r>
    </w:p>
    <w:p w14:paraId="6EB40944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cT1—4，任何N，伴MRF+；cT1—4，任何N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0009B73C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：同步放化疗±间隔期化疗（再次评估）+直肠癌根治术+辅助化疗（1A类）；</w:t>
      </w:r>
    </w:p>
    <w:p w14:paraId="4926D888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Ⅱ级推荐</w:t>
      </w:r>
      <w:r>
        <w:rPr>
          <w:rFonts w:ascii="Times New Roman" w:hAnsi="Times New Roman" w:eastAsia="宋体"/>
          <w:b w:val="0"/>
          <w:color w:val="000000"/>
          <w:sz w:val="24"/>
        </w:rPr>
        <w:t>：化疗+同步放化疗（再次评估）+直肠癌根治术±化疗（1B类）；强化同期放化疗方案（卡培他滨联合伊立替康的同步放化疗）（再次评估）+直肠癌根治术+辅助化疗（1B类）；短程放疗+12—16周化疗+直肠癌根治术（1B类）；放/化疗+化疗联合免疫（再次评估）+直肠癌根治术（1B类）；观察等待（参见注释）。</w:t>
      </w:r>
    </w:p>
    <w:p w14:paraId="052D4031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cT1—4或N1—4，新辅助放化疗后cCR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60DF5983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保肛不存在技术难度：直肠癌根治术±辅助化疗；</w:t>
      </w:r>
    </w:p>
    <w:p w14:paraId="2924264E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保肛存在技术难度但保肛意愿强烈的患者：观察等待。</w:t>
      </w:r>
    </w:p>
    <w:p w14:paraId="65BC46ED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cT3—4或N0，术前存在综合治疗禁忌或其他原因未行术前放疗者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4519D414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直肠癌根治术后pT1—2N0：观察；</w:t>
      </w:r>
    </w:p>
    <w:p w14:paraId="50406059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直肠癌根治术后pT3—4或N1：经再评估后无放化疗禁忌证者，辅助化疗+辅助放化疗；经再评估后无放化疗禁忌证者，辅助放化疗+辅助化疗（1B类）。</w:t>
      </w:r>
    </w:p>
    <w:p w14:paraId="5CF5CC4D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cT3—4任何N，存在无法手术的医学因素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1A81839E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Ⅰ级推荐</w:t>
      </w:r>
      <w:r>
        <w:rPr>
          <w:rFonts w:ascii="Times New Roman" w:hAnsi="Times New Roman" w:eastAsia="宋体"/>
          <w:b w:val="0"/>
          <w:color w:val="000000"/>
          <w:sz w:val="24"/>
        </w:rPr>
        <w:t>：同步放化疗±化疗。</w:t>
      </w:r>
    </w:p>
    <w:p w14:paraId="41807FFB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dMMR/MSI-H患者：</w:t>
      </w:r>
    </w:p>
    <w:p w14:paraId="38D36A22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推荐新辅助免疫治疗，采用PD-1单抗；亦可考虑临床研究。</w:t>
      </w:r>
    </w:p>
    <w:p w14:paraId="566E1F8C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特别是保肛困难或T4b无法R0切除者，推荐新辅助免疫治疗后再MDT评估手术时机和手术方案。</w:t>
      </w:r>
    </w:p>
    <w:p w14:paraId="759F50C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新辅助双免/PD-1抑制剂pCR率显著高于化疗，是等待观察策略的重要获益群体。</w:t>
      </w:r>
    </w:p>
    <w:p w14:paraId="0996FD51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长程放化疗（LCRT）：</w:t>
      </w:r>
    </w:p>
    <w:p w14:paraId="320C1C6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放疗45—50.4Gy/25—28次，同步卡培他滨或5-FU持续输注，放疗结束后6—12周手术。</w:t>
      </w:r>
    </w:p>
    <w:p w14:paraId="3D58103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适用于大多数局部进展期直肠癌，肿瘤退缩效果更优。</w:t>
      </w:r>
    </w:p>
    <w:p w14:paraId="64D66BC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对于保留肛门括约肌需增加肿瘤退缩或观察等待策略，可采用卡培他滨联合伊立替康的同步放化疗或FOLFOX同步放疗的FOWARC研究方案。</w:t>
      </w:r>
    </w:p>
    <w:p w14:paraId="3B52BFE4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短程放疗（SCRT）：</w:t>
      </w:r>
    </w:p>
    <w:p w14:paraId="74E923A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25Gy/5次/1周，通常不联合同步化疗。</w:t>
      </w:r>
    </w:p>
    <w:p w14:paraId="749E3942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低复发风险（T3）、无器官保留需求的患者，可考虑短程放疗后1周内手术。</w:t>
      </w:r>
    </w:p>
    <w:p w14:paraId="290AD4E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高复发风险（MRI评估存在以下情况之一者：cT4a/b、EMVI+、cN2、MRF+、侧方淋巴结阳性）患者，建议短程放疗后行巩固化疗，再给予手术治疗。</w:t>
      </w:r>
    </w:p>
    <w:p w14:paraId="60FF33FB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TNT模式：</w:t>
      </w:r>
    </w:p>
    <w:p w14:paraId="03129BFE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整合诱导化疗、放化疗和巩固化疗，将全部或大部分全身治疗安排在手术前。</w:t>
      </w:r>
    </w:p>
    <w:p w14:paraId="42D2514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对于MRF阳性、EMVI阳性、侧方淋巴结转移等高危患者，TNT可提高pCR率和R0切除率。</w:t>
      </w:r>
    </w:p>
    <w:p w14:paraId="72C56997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dMMR/MSI-H患者的特殊路径：</w:t>
      </w:r>
    </w:p>
    <w:p w14:paraId="50535F9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局限期dMMR/MSI-H直肠癌患者推荐使用</w:t>
      </w:r>
      <w:r>
        <w:rPr>
          <w:rFonts w:ascii="Times New Roman" w:hAnsi="Times New Roman" w:eastAsia="宋体"/>
          <w:b/>
          <w:color w:val="000000"/>
          <w:sz w:val="24"/>
        </w:rPr>
        <w:t>PD-1抑制剂</w:t>
      </w:r>
      <w:r>
        <w:rPr>
          <w:rFonts w:ascii="Times New Roman" w:hAnsi="Times New Roman" w:eastAsia="宋体"/>
          <w:b w:val="0"/>
          <w:color w:val="000000"/>
          <w:sz w:val="24"/>
        </w:rPr>
        <w:t>，新辅助双免pCR率可达较高水平，是等待观察策略的最大获益群体。</w:t>
      </w:r>
    </w:p>
    <w:p w14:paraId="3B58812F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MSS/pMMR患者：</w:t>
      </w:r>
    </w:p>
    <w:p w14:paraId="473EF2CE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新辅助放化疗后手术为标准路径。</w:t>
      </w:r>
    </w:p>
    <w:p w14:paraId="5B2A5D8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近年来免疫联合放疗在局部晚期直肠癌中的应用价值受到关注，STELLAR II研究显示短程放疗TNT+信迪利单抗可显著提高pMMR局部晚期直肠癌的CR率。2026版指南将放/化疗+化疗联合免疫列为Ⅱ级推荐（1B类），需在MDT框架下个体化决策。</w:t>
      </w:r>
    </w:p>
    <w:p w14:paraId="3725CA4A">
      <w:pPr>
        <w:pStyle w:val="5"/>
        <w:keepNext/>
        <w:spacing w:before="180" w:after="80" w:line="360" w:lineRule="auto"/>
      </w:pPr>
      <w:r>
        <w:rPr>
          <w:rFonts w:ascii="Times New Roman" w:hAnsi="Times New Roman" w:eastAsia="黑体"/>
          <w:b/>
          <w:color w:val="000000"/>
          <w:sz w:val="24"/>
        </w:rPr>
        <w:t>（3）侧方淋巴结的处理</w:t>
      </w:r>
    </w:p>
    <w:p w14:paraId="3E1E84E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侧方淋巴结是中低位直肠癌常见的转移部位。</w:t>
      </w:r>
    </w:p>
    <w:p w14:paraId="0597CDD1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影像诊断阈值：</w:t>
      </w:r>
    </w:p>
    <w:p w14:paraId="65C36C0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侧方淋巴结包括闭孔淋巴结、髂内淋巴结和髂外淋巴结；</w:t>
      </w:r>
    </w:p>
    <w:p w14:paraId="01701D7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短径5—10mm为侧方淋巴结疑似转移诊断阈值；</w:t>
      </w:r>
    </w:p>
    <w:p w14:paraId="4CD1922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短径≥10mm为确定转移诊断阈值；</w:t>
      </w:r>
    </w:p>
    <w:p w14:paraId="3FE096C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新辅助治疗前，研究提示短径≥7mm可作为侧方淋巴结转移诊断阈值；</w:t>
      </w:r>
    </w:p>
    <w:p w14:paraId="26F0C0D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新辅助治疗后，髂内淋巴结≥4mm或闭孔淋巴结≥6mm是侧方淋巴结复发的高风险因素。</w:t>
      </w:r>
    </w:p>
    <w:p w14:paraId="5E31684D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处理原则：</w:t>
      </w:r>
    </w:p>
    <w:p w14:paraId="32A881D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不建议对影像学未确诊的侧方淋巴结行预防性清扫；</w:t>
      </w:r>
    </w:p>
    <w:p w14:paraId="4F8393C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影像确诊的侧方淋巴结转移，建议先行术前新辅助放化疗，然后再行侧方淋巴结清扫；</w:t>
      </w:r>
    </w:p>
    <w:p w14:paraId="57DD363E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如果治疗后淋巴结影像学消失，可以随访观察。</w:t>
      </w:r>
    </w:p>
    <w:p w14:paraId="6E7599B8">
      <w:pPr>
        <w:pStyle w:val="3"/>
        <w:keepNext/>
        <w:spacing w:before="280" w:after="120" w:line="360" w:lineRule="auto"/>
      </w:pPr>
      <w:bookmarkStart w:id="16" w:name="_LarkToc00017"/>
      <w:r>
        <w:rPr>
          <w:rFonts w:ascii="Times New Roman" w:hAnsi="Times New Roman" w:eastAsia="黑体"/>
          <w:b/>
          <w:color w:val="000000"/>
          <w:sz w:val="32"/>
        </w:rPr>
        <w:t>四、治疗实施与术后管理</w:t>
      </w:r>
      <w:bookmarkEnd w:id="16"/>
    </w:p>
    <w:p w14:paraId="404967C8">
      <w:pPr>
        <w:pStyle w:val="4"/>
        <w:keepNext/>
        <w:spacing w:before="220" w:after="100" w:line="360" w:lineRule="auto"/>
      </w:pPr>
      <w:bookmarkStart w:id="17" w:name="_LarkToc00018"/>
      <w:r>
        <w:rPr>
          <w:rFonts w:ascii="Times New Roman" w:hAnsi="Times New Roman" w:eastAsia="黑体"/>
          <w:b/>
          <w:color w:val="000000"/>
          <w:sz w:val="28"/>
        </w:rPr>
        <w:t>1. 手术治疗</w:t>
      </w:r>
      <w:bookmarkEnd w:id="17"/>
    </w:p>
    <w:p w14:paraId="41009DF8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TME是全直肠系膜切除的金标准术式</w:t>
      </w:r>
      <w:r>
        <w:rPr>
          <w:rFonts w:ascii="Times New Roman" w:hAnsi="Times New Roman" w:eastAsia="宋体"/>
          <w:b w:val="0"/>
          <w:color w:val="000000"/>
          <w:sz w:val="24"/>
        </w:rPr>
        <w:t>。手术方式包括：</w:t>
      </w:r>
    </w:p>
    <w:p w14:paraId="026D5B52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低位前切除术（LAR）</w:t>
      </w:r>
      <w:r>
        <w:rPr>
          <w:rFonts w:ascii="Times New Roman" w:hAnsi="Times New Roman" w:eastAsia="宋体"/>
          <w:b w:val="0"/>
          <w:color w:val="000000"/>
          <w:sz w:val="24"/>
        </w:rPr>
        <w:t>：适用于中高位直肠癌，可保留肛门；</w:t>
      </w:r>
    </w:p>
    <w:p w14:paraId="79B48B42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腹会阴联合切除术（APR/Miles术）</w:t>
      </w:r>
      <w:r>
        <w:rPr>
          <w:rFonts w:ascii="Times New Roman" w:hAnsi="Times New Roman" w:eastAsia="宋体"/>
          <w:b w:val="0"/>
          <w:color w:val="000000"/>
          <w:sz w:val="24"/>
        </w:rPr>
        <w:t>：适用于肿瘤侵犯肛门括约肌或距肛缘过近无法保肛者，需永久性造口；</w:t>
      </w:r>
    </w:p>
    <w:p w14:paraId="100C9144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经肛全直肠系膜切除术（taTME）</w:t>
      </w:r>
      <w:r>
        <w:rPr>
          <w:rFonts w:ascii="Times New Roman" w:hAnsi="Times New Roman" w:eastAsia="宋体"/>
          <w:b w:val="0"/>
          <w:color w:val="000000"/>
          <w:sz w:val="24"/>
        </w:rPr>
        <w:t>：适用于中低位直肠癌，可增加远切缘距离、降低环周切缘阳性率；</w:t>
      </w:r>
    </w:p>
    <w:p w14:paraId="0806744D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经肛局部切除术（LE）</w:t>
      </w:r>
      <w:r>
        <w:rPr>
          <w:rFonts w:ascii="Times New Roman" w:hAnsi="Times New Roman" w:eastAsia="宋体"/>
          <w:b w:val="0"/>
          <w:color w:val="000000"/>
          <w:sz w:val="24"/>
        </w:rPr>
        <w:t>：适用于新辅助治疗后达到cCR或ncCR的患者，作为器官保留策略之一。</w:t>
      </w:r>
    </w:p>
    <w:p w14:paraId="400F0328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保肛决策原则</w:t>
      </w:r>
      <w:r>
        <w:rPr>
          <w:rFonts w:ascii="Times New Roman" w:hAnsi="Times New Roman" w:eastAsia="宋体"/>
          <w:b w:val="0"/>
          <w:color w:val="000000"/>
          <w:sz w:val="24"/>
        </w:rPr>
        <w:t>：低位直肠癌距肛缘2cm即可考虑保肛手术，需综合评估肿瘤退缩程度、括约肌功能和患者意愿。</w:t>
      </w:r>
    </w:p>
    <w:p w14:paraId="1E844A4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中低位直肠癌应该行全直肠系膜切除术（TME），高位直肠癌行广泛系膜切除术（切除肿瘤下缘至少5cm的直肠系膜）。</w:t>
      </w:r>
    </w:p>
    <w:p w14:paraId="2096DF8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腹腔镜/机器人辅助的直肠癌根治术：尽管具有微创与保肛的优势，但长期肿瘤学疗效仍有待进一步评估，建议在有经验的中心开展。</w:t>
      </w:r>
    </w:p>
    <w:p w14:paraId="7EADB01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侧方淋巴结清扫的外科原则：基线侧方淋巴结转移的诊断标准参见影像诊断部分；不建议对影像学未确诊的侧方淋巴结行预防性清扫术；影像确诊的侧方淋巴结转移，建议先行术前新辅助放化疗，然后再行侧方淋巴结清扫术；如果治疗后淋巴结影像学消失，可以随访观察。</w:t>
      </w:r>
    </w:p>
    <w:p w14:paraId="31E7D1E9">
      <w:pPr>
        <w:pStyle w:val="4"/>
        <w:keepNext/>
        <w:spacing w:before="220" w:after="100" w:line="360" w:lineRule="auto"/>
      </w:pPr>
      <w:bookmarkStart w:id="18" w:name="_LarkToc00019"/>
      <w:r>
        <w:rPr>
          <w:rFonts w:ascii="Times New Roman" w:hAnsi="Times New Roman" w:eastAsia="黑体"/>
          <w:b/>
          <w:color w:val="000000"/>
          <w:sz w:val="28"/>
        </w:rPr>
        <w:t>2. 围手术期管理</w:t>
      </w:r>
      <w:bookmarkEnd w:id="18"/>
    </w:p>
    <w:p w14:paraId="5D2997C8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采用加速康复外科（ERAS）理念。直肠癌术后ERAS标准住院日约5天。重点包括：早期下床活动、早期经口进食、多模式镇痛、尽早拔除引流管和尿管。</w:t>
      </w:r>
    </w:p>
    <w:p w14:paraId="39540043">
      <w:pPr>
        <w:pStyle w:val="4"/>
        <w:keepNext/>
        <w:spacing w:before="220" w:after="100" w:line="360" w:lineRule="auto"/>
      </w:pPr>
      <w:bookmarkStart w:id="19" w:name="_LarkToc00020"/>
      <w:r>
        <w:rPr>
          <w:rFonts w:ascii="Times New Roman" w:hAnsi="Times New Roman" w:eastAsia="黑体"/>
          <w:b/>
          <w:color w:val="000000"/>
          <w:sz w:val="28"/>
        </w:rPr>
        <w:t>3. 术后辅助化疗（2026版更新）</w:t>
      </w:r>
      <w:bookmarkEnd w:id="19"/>
    </w:p>
    <w:p w14:paraId="63969D7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接受术前新辅助放化疗的患者应接受术后辅助化疗，术前术后总疗程推荐为6个月。</w:t>
      </w:r>
    </w:p>
    <w:p w14:paraId="28BD544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对于接受新辅助放化疗后，术后病理分期≤ypⅡ期的患者，与患者充分沟通后，可考虑氟尿嘧啶类单药辅助化疗。</w:t>
      </w:r>
    </w:p>
    <w:p w14:paraId="06B8A39F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Ⅲ期MSI-H/dMMR患者</w:t>
      </w:r>
      <w:r>
        <w:rPr>
          <w:rFonts w:ascii="Times New Roman" w:hAnsi="Times New Roman" w:eastAsia="宋体"/>
          <w:b w:val="0"/>
          <w:color w:val="000000"/>
          <w:sz w:val="24"/>
        </w:rPr>
        <w:t>：Ⅲ级推荐新增</w:t>
      </w:r>
      <w:r>
        <w:rPr>
          <w:rFonts w:ascii="Times New Roman" w:hAnsi="Times New Roman" w:eastAsia="宋体"/>
          <w:b/>
          <w:color w:val="000000"/>
          <w:sz w:val="24"/>
        </w:rPr>
        <w:t>“FOLFOX+阿替利珠单抗”（限dMMR患者）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4CCB17FA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MSI-H/dMMR患者新辅助免疫后的辅助决策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656E5EA8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新辅助免疫后达到pCR或降期为Ⅰ—Ⅱ期，推荐观察；降期至T4N0M0者建议辅助化疗；</w:t>
      </w:r>
    </w:p>
    <w:p w14:paraId="1BA19D94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若仍为Ⅲ期，则需辅助化疗；</w:t>
      </w:r>
    </w:p>
    <w:p w14:paraId="5FE728FB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直接手术的dMMR患者，明确反对在临床试验外常规单用免疫检查点抑制剂进行辅助治疗。</w:t>
      </w:r>
    </w:p>
    <w:p w14:paraId="79A85C29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MSS/pMMR患者</w:t>
      </w:r>
      <w:r>
        <w:rPr>
          <w:rFonts w:ascii="Times New Roman" w:hAnsi="Times New Roman" w:eastAsia="宋体"/>
          <w:b w:val="0"/>
          <w:color w:val="000000"/>
          <w:sz w:val="24"/>
        </w:rPr>
        <w:t>：Ⅲ期及高危Ⅱ期术后辅助化疗为标准治疗。</w:t>
      </w:r>
    </w:p>
    <w:p w14:paraId="4A884929">
      <w:pPr>
        <w:pStyle w:val="3"/>
        <w:keepNext/>
        <w:spacing w:before="280" w:after="120" w:line="360" w:lineRule="auto"/>
      </w:pPr>
      <w:bookmarkStart w:id="20" w:name="_LarkToc00021"/>
      <w:r>
        <w:rPr>
          <w:rFonts w:ascii="Times New Roman" w:hAnsi="Times New Roman" w:eastAsia="黑体"/>
          <w:b/>
          <w:color w:val="000000"/>
          <w:sz w:val="32"/>
        </w:rPr>
        <w:t>五、等待观察（Watch &amp; Wait）策略</w:t>
      </w:r>
      <w:bookmarkEnd w:id="20"/>
    </w:p>
    <w:p w14:paraId="282D759A">
      <w:pPr>
        <w:pStyle w:val="4"/>
        <w:keepNext/>
        <w:spacing w:before="220" w:after="100" w:line="360" w:lineRule="auto"/>
      </w:pPr>
      <w:bookmarkStart w:id="21" w:name="_LarkToc00022"/>
      <w:r>
        <w:rPr>
          <w:rFonts w:ascii="Times New Roman" w:hAnsi="Times New Roman" w:eastAsia="黑体"/>
          <w:b/>
          <w:color w:val="000000"/>
          <w:sz w:val="28"/>
        </w:rPr>
        <w:t>1. 适用条件</w:t>
      </w:r>
      <w:bookmarkEnd w:id="21"/>
    </w:p>
    <w:p w14:paraId="4DB899F2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2026版指南明确了“等待观察”策略的适用标准和评估流程。</w:t>
      </w:r>
      <w:r>
        <w:rPr>
          <w:rFonts w:ascii="Times New Roman" w:hAnsi="Times New Roman" w:eastAsia="宋体"/>
          <w:b/>
          <w:color w:val="000000"/>
          <w:sz w:val="24"/>
        </w:rPr>
        <w:t>核心门槛是达到临床完全缓解（cCR）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 w14:paraId="6601269E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cCR判断标准（基于国际专家共识）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</w:p>
    <w:p w14:paraId="7D6A7807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1. 肛门指诊（DRE）</w:t>
      </w:r>
      <w:r>
        <w:rPr>
          <w:rFonts w:ascii="Times New Roman" w:hAnsi="Times New Roman" w:eastAsia="宋体"/>
          <w:b w:val="0"/>
          <w:color w:val="000000"/>
          <w:sz w:val="24"/>
        </w:rPr>
        <w:t>：原肿瘤区域正常，没有肿瘤性肿块可触及；</w:t>
      </w:r>
    </w:p>
    <w:p w14:paraId="250106E2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2. 内镜</w:t>
      </w:r>
      <w:r>
        <w:rPr>
          <w:rFonts w:ascii="Times New Roman" w:hAnsi="Times New Roman" w:eastAsia="宋体"/>
          <w:b w:val="0"/>
          <w:color w:val="000000"/>
          <w:sz w:val="24"/>
        </w:rPr>
        <w:t>：无可见肿瘤性征象，或者仅有少量残留的红斑性溃疡或瘢痕；</w:t>
      </w:r>
    </w:p>
    <w:p w14:paraId="33F5C2BE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3. 盆腔高分辨率MRI</w:t>
      </w:r>
      <w:r>
        <w:rPr>
          <w:rFonts w:ascii="Times New Roman" w:hAnsi="Times New Roman" w:eastAsia="宋体"/>
          <w:b w:val="0"/>
          <w:color w:val="000000"/>
          <w:sz w:val="24"/>
        </w:rPr>
        <w:t>：实质性缩小，无可观察到的残留肿瘤占位或仅存在残余纤维化（弥散加权成像信号有限），有时与水肿导致的残余肠壁增厚相关，无可疑淋巴结；</w:t>
      </w:r>
    </w:p>
    <w:p w14:paraId="5F8CA424">
      <w:pPr>
        <w:pStyle w:val="23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4. 内镜活检</w:t>
      </w:r>
      <w:r>
        <w:rPr>
          <w:rFonts w:ascii="Times New Roman" w:hAnsi="Times New Roman" w:eastAsia="宋体"/>
          <w:b w:val="0"/>
          <w:color w:val="000000"/>
          <w:sz w:val="24"/>
        </w:rPr>
        <w:t>：不强制用于定义cCR，特别对于满足DRE、直肠镜检查和MRI cCR标准的患者不应进行活检。</w:t>
      </w:r>
    </w:p>
    <w:p w14:paraId="58850D82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CEA</w:t>
      </w:r>
      <w:r>
        <w:rPr>
          <w:rFonts w:ascii="Times New Roman" w:hAnsi="Times New Roman" w:eastAsia="宋体"/>
          <w:b w:val="0"/>
          <w:color w:val="000000"/>
          <w:sz w:val="24"/>
        </w:rPr>
        <w:t>：可作为辅助参考，但不作为cCR核心必需条件。</w:t>
      </w:r>
    </w:p>
    <w:p w14:paraId="751DF3AD">
      <w:pPr>
        <w:pStyle w:val="4"/>
        <w:keepNext/>
        <w:spacing w:before="220" w:after="100" w:line="360" w:lineRule="auto"/>
      </w:pPr>
      <w:bookmarkStart w:id="22" w:name="_LarkToc00023"/>
      <w:r>
        <w:rPr>
          <w:rFonts w:ascii="Times New Roman" w:hAnsi="Times New Roman" w:eastAsia="黑体"/>
          <w:b/>
          <w:color w:val="000000"/>
          <w:sz w:val="28"/>
        </w:rPr>
        <w:t>2. 近完全缓解（nearCR）的处理</w:t>
      </w:r>
      <w:bookmarkEnd w:id="22"/>
    </w:p>
    <w:p w14:paraId="2EDC221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肿瘤退缩成大片纤维、DWI信号大幅下降、淋巴结消失，但黏膜仍有小溃疡或发红。</w:t>
      </w:r>
    </w:p>
    <w:p w14:paraId="33C3654C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指南允许nearCR患者等待2—3个月再复查，约40%—60%会在随后2—3个月内继续消退到cCR。</w:t>
      </w:r>
    </w:p>
    <w:p w14:paraId="14F5E218">
      <w:pPr>
        <w:pStyle w:val="4"/>
        <w:keepNext/>
        <w:spacing w:before="220" w:after="100" w:line="360" w:lineRule="auto"/>
      </w:pPr>
      <w:bookmarkStart w:id="23" w:name="_LarkToc00024"/>
      <w:r>
        <w:rPr>
          <w:rFonts w:ascii="Times New Roman" w:hAnsi="Times New Roman" w:eastAsia="黑体"/>
          <w:b/>
          <w:color w:val="000000"/>
          <w:sz w:val="28"/>
        </w:rPr>
        <w:t>3. 随访方案</w:t>
      </w:r>
      <w:bookmarkEnd w:id="23"/>
    </w:p>
    <w:p w14:paraId="75B3DBB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采取等待观察策略的患者需在最初两年内每3个月进行一次临床、影像学（盆腔MRI）和内镜评估，并每6—12个月进行一次全身CT扫描。</w:t>
      </w:r>
    </w:p>
    <w:p w14:paraId="538FA20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一旦发现肿瘤局部再生，立即行补救性TME手术。</w:t>
      </w:r>
    </w:p>
    <w:p w14:paraId="28F892A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应详细告知拟选择“观察等待”的患者：鉴于目前诊断手段的局限性，cCR与pCR之间的判断符合率仍然不尽如人意，存在肿瘤残留以及随之而来的肿瘤原位再生长，乃至远处转移的风险，患者需要遵医嘱接受密切的治疗后监测。</w:t>
      </w:r>
    </w:p>
    <w:p w14:paraId="5DC88E02">
      <w:pPr>
        <w:pStyle w:val="3"/>
        <w:keepNext/>
        <w:spacing w:before="280" w:after="120" w:line="360" w:lineRule="auto"/>
      </w:pPr>
      <w:bookmarkStart w:id="24" w:name="_LarkToc00025"/>
      <w:r>
        <w:rPr>
          <w:rFonts w:ascii="Times New Roman" w:hAnsi="Times New Roman" w:eastAsia="黑体"/>
          <w:b/>
          <w:color w:val="000000"/>
          <w:sz w:val="32"/>
        </w:rPr>
        <w:t>六、出院标准与随访</w:t>
      </w:r>
      <w:bookmarkEnd w:id="24"/>
    </w:p>
    <w:p w14:paraId="265B1954">
      <w:pPr>
        <w:pStyle w:val="4"/>
        <w:keepNext/>
        <w:spacing w:before="220" w:after="100" w:line="360" w:lineRule="auto"/>
      </w:pPr>
      <w:bookmarkStart w:id="25" w:name="_LarkToc00026"/>
      <w:r>
        <w:rPr>
          <w:rFonts w:ascii="Times New Roman" w:hAnsi="Times New Roman" w:eastAsia="黑体"/>
          <w:b/>
          <w:color w:val="000000"/>
          <w:sz w:val="28"/>
        </w:rPr>
        <w:t>出院标准</w:t>
      </w:r>
      <w:bookmarkEnd w:id="25"/>
    </w:p>
    <w:p w14:paraId="50E5EB69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体温正常3天以上；</w:t>
      </w:r>
    </w:p>
    <w:p w14:paraId="19922F7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恢复半流质或软食，无明显不适；</w:t>
      </w:r>
    </w:p>
    <w:p w14:paraId="7A6ECA2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疼痛可控，仅需口服止痛药；</w:t>
      </w:r>
    </w:p>
    <w:p w14:paraId="07F85E8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无吻合口瘘、感染、出血等严重并发症；</w:t>
      </w:r>
    </w:p>
    <w:p w14:paraId="4116DBC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伤口愈合良好，造口护理掌握（若行造口）；</w:t>
      </w:r>
    </w:p>
    <w:p w14:paraId="6C98C62A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能独立行走和基本自理。</w:t>
      </w:r>
    </w:p>
    <w:p w14:paraId="18882C05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住院时间参考：</w:t>
      </w:r>
    </w:p>
    <w:p w14:paraId="65148D6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仅住院确诊、分期约3—7天；新辅助治疗需另行安排；手术患者术前准备3—5天+术后5—10天，微创手术可更短。</w:t>
      </w:r>
    </w:p>
    <w:p w14:paraId="60C48C4E">
      <w:pPr>
        <w:pStyle w:val="4"/>
        <w:keepNext/>
        <w:spacing w:before="220" w:after="100" w:line="360" w:lineRule="auto"/>
      </w:pPr>
      <w:bookmarkStart w:id="26" w:name="_LarkToc00027"/>
      <w:r>
        <w:rPr>
          <w:rFonts w:ascii="Times New Roman" w:hAnsi="Times New Roman" w:eastAsia="黑体"/>
          <w:b/>
          <w:color w:val="000000"/>
          <w:sz w:val="28"/>
        </w:rPr>
        <w:t>随访计划（2026版指南）</w:t>
      </w:r>
      <w:bookmarkEnd w:id="26"/>
    </w:p>
    <w:p w14:paraId="06569D85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随访频率：</w:t>
      </w:r>
    </w:p>
    <w:p w14:paraId="3958C7EA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Ⅰ期</w:t>
      </w:r>
      <w:r>
        <w:rPr>
          <w:rFonts w:ascii="Times New Roman" w:hAnsi="Times New Roman" w:eastAsia="宋体"/>
          <w:b w:val="0"/>
          <w:color w:val="000000"/>
          <w:sz w:val="24"/>
        </w:rPr>
        <w:t>：每6个月一次，共5年；</w:t>
      </w:r>
    </w:p>
    <w:p w14:paraId="56AAD2AD">
      <w:pPr>
        <w:pStyle w:val="16"/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Ⅱ—Ⅲ期</w:t>
      </w:r>
      <w:r>
        <w:rPr>
          <w:rFonts w:ascii="Times New Roman" w:hAnsi="Times New Roman" w:eastAsia="宋体"/>
          <w:b w:val="0"/>
          <w:color w:val="000000"/>
          <w:sz w:val="24"/>
        </w:rPr>
        <w:t>：每3个月一次，共3年；然后每6个月一次，至术后5年；5年后每年一次。</w:t>
      </w:r>
    </w:p>
    <w:p w14:paraId="5201F0B0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随访内容（无特指时即为每次）：</w:t>
      </w:r>
    </w:p>
    <w:p w14:paraId="2867691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体格检查，强调肛门指诊；</w:t>
      </w:r>
    </w:p>
    <w:p w14:paraId="20D93CE7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血CEA；</w:t>
      </w:r>
    </w:p>
    <w:p w14:paraId="70CE9D7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肝脏超声检查（Ⅰ—Ⅱ期）；</w:t>
      </w:r>
    </w:p>
    <w:p w14:paraId="1C1BCD9C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每年一次盆腔增强MRI；</w:t>
      </w:r>
    </w:p>
    <w:p w14:paraId="57DC5939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每年一次胸腹增强CT（Ⅲ期或CEA、超声异常时）；</w:t>
      </w:r>
    </w:p>
    <w:p w14:paraId="3B0EDA1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结肠镜检查：</w:t>
      </w:r>
    </w:p>
    <w:p w14:paraId="2649CFAF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术后1年内进行首次结肠镜检查；</w:t>
      </w:r>
    </w:p>
    <w:p w14:paraId="60A3DDC2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如果术前因肿瘤梗阻无法行全结肠镜检查，术后3—6个月检查；</w:t>
      </w:r>
    </w:p>
    <w:p w14:paraId="5F4DD81C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每次肠镜检查若发现进展期腺瘤（绒毛状腺瘤，直径大于1cm，或有高级别不典型增生），需在1年内复查；</w:t>
      </w:r>
    </w:p>
    <w:p w14:paraId="0D45CCC3">
      <w:pPr>
        <w:pStyle w:val="23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若未发现进展期腺瘤，则3年内复查，然后每5年一次。</w:t>
      </w:r>
    </w:p>
    <w:p w14:paraId="055A9708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Ⅱ级推荐随访内容：</w:t>
      </w:r>
    </w:p>
    <w:p w14:paraId="43D1B87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较Ⅰ级推荐更高的随访频率；</w:t>
      </w:r>
    </w:p>
    <w:p w14:paraId="4A10778F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腹部增强CT；</w:t>
      </w:r>
    </w:p>
    <w:p w14:paraId="1EFBFD8B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曾经升高过的标志物；</w:t>
      </w:r>
    </w:p>
    <w:p w14:paraId="75F8FCE6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肝脏超声造影；</w:t>
      </w:r>
    </w:p>
    <w:p w14:paraId="7D0E1615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PET/CT；</w:t>
      </w:r>
    </w:p>
    <w:p w14:paraId="1AFAB7F4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ctDNA/MRD。</w:t>
      </w:r>
    </w:p>
    <w:p w14:paraId="57FD8CEA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等待观察患者：</w:t>
      </w:r>
    </w:p>
    <w:p w14:paraId="0F0E9C4D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前2年每3个月复查盆腔MRI+肠镜+CEA。</w:t>
      </w:r>
    </w:p>
    <w:p w14:paraId="6317B19C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遗传筛查：</w:t>
      </w:r>
    </w:p>
    <w:p w14:paraId="577DFA50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dMMR/MSI-H人群需行BRAF V600E检测，若BRAF V600E阴性，需进行林奇综合征相关基因的胚系检测。</w:t>
      </w:r>
    </w:p>
    <w:p w14:paraId="20945333">
      <w:pPr>
        <w:pStyle w:val="16"/>
        <w:spacing w:before="0" w:after="0" w:line="360" w:lineRule="auto"/>
      </w:pPr>
      <w:r>
        <w:rPr>
          <w:rFonts w:ascii="Times New Roman" w:hAnsi="Times New Roman" w:eastAsia="宋体"/>
          <w:b w:val="0"/>
          <w:color w:val="000000"/>
          <w:sz w:val="24"/>
        </w:rPr>
        <w:t>所有结直肠癌患者应询问其肿瘤家族史并明确肠道息肉情况。</w:t>
      </w:r>
    </w:p>
    <w:p w14:paraId="1E0BC555">
      <w:pPr>
        <w:pStyle w:val="3"/>
        <w:keepNext/>
        <w:spacing w:before="280" w:after="120" w:line="360" w:lineRule="auto"/>
      </w:pPr>
      <w:bookmarkStart w:id="27" w:name="_LarkToc00028"/>
      <w:r>
        <w:rPr>
          <w:rFonts w:ascii="Times New Roman" w:hAnsi="Times New Roman" w:eastAsia="黑体"/>
          <w:b/>
          <w:color w:val="000000"/>
          <w:sz w:val="32"/>
        </w:rPr>
        <w:t>七、与非梗阻性结肠癌流程的核心差异总结</w:t>
      </w:r>
      <w:bookmarkEnd w:id="27"/>
    </w:p>
    <w:p w14:paraId="33A71C7D">
      <w:pPr>
        <w:keepNext/>
        <w:spacing w:before="80" w:after="80" w:line="24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表1  与非梗阻性结肠癌流程的核心差异</w:t>
      </w:r>
      <w:bookmarkStart w:id="28" w:name="_GoBack"/>
      <w:bookmarkEnd w:id="28"/>
    </w:p>
    <w:tbl>
      <w:tblPr>
        <w:tblStyle w:val="3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8" w:type="dxa"/>
          <w:bottom w:w="60" w:type="dxa"/>
          <w:right w:w="108" w:type="dxa"/>
        </w:tblCellMar>
      </w:tblPr>
      <w:tblGrid>
        <w:gridCol w:w="3024"/>
        <w:gridCol w:w="3024"/>
        <w:gridCol w:w="3024"/>
      </w:tblGrid>
      <w:tr w14:paraId="2D3E6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14" w:type="dxa"/>
            <w:shd w:val="clear" w:color="auto" w:fill="D9D9D9"/>
            <w:vAlign w:val="center"/>
          </w:tcPr>
          <w:p w14:paraId="3D180F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环节</w:t>
            </w:r>
          </w:p>
        </w:tc>
        <w:tc>
          <w:tcPr>
            <w:tcW w:w="3061" w:type="dxa"/>
            <w:shd w:val="clear" w:color="auto" w:fill="D9D9D9"/>
            <w:vAlign w:val="center"/>
          </w:tcPr>
          <w:p w14:paraId="6E123B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结肠癌</w:t>
            </w:r>
          </w:p>
        </w:tc>
        <w:tc>
          <w:tcPr>
            <w:tcW w:w="4195" w:type="dxa"/>
            <w:shd w:val="clear" w:color="auto" w:fill="D9D9D9"/>
            <w:vAlign w:val="center"/>
          </w:tcPr>
          <w:p w14:paraId="2D20646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直肠癌</w:t>
            </w:r>
          </w:p>
        </w:tc>
      </w:tr>
      <w:tr w14:paraId="31983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4BD3AE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核心分期检查</w:t>
            </w:r>
          </w:p>
        </w:tc>
        <w:tc>
          <w:tcPr>
            <w:tcW w:w="3061" w:type="dxa"/>
            <w:vAlign w:val="center"/>
          </w:tcPr>
          <w:p w14:paraId="0A308F2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腹部+盆腔增强CT</w:t>
            </w:r>
          </w:p>
        </w:tc>
        <w:tc>
          <w:tcPr>
            <w:tcW w:w="4195" w:type="dxa"/>
            <w:vAlign w:val="center"/>
          </w:tcPr>
          <w:p w14:paraId="14A913E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盆腔高分辨率MRI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（T分期/MRF/EMVI核心依据）</w:t>
            </w:r>
          </w:p>
        </w:tc>
      </w:tr>
      <w:tr w14:paraId="40925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466EEF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风险分层</w:t>
            </w:r>
          </w:p>
        </w:tc>
        <w:tc>
          <w:tcPr>
            <w:tcW w:w="3061" w:type="dxa"/>
            <w:vAlign w:val="center"/>
          </w:tcPr>
          <w:p w14:paraId="43B298E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TNM分期</w:t>
            </w:r>
          </w:p>
        </w:tc>
        <w:tc>
          <w:tcPr>
            <w:tcW w:w="4195" w:type="dxa"/>
            <w:vAlign w:val="center"/>
          </w:tcPr>
          <w:p w14:paraId="73764F2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ESMO五层级风险分层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（极低度→极高度）</w:t>
            </w:r>
          </w:p>
        </w:tc>
      </w:tr>
      <w:tr w14:paraId="2685D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272477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放疗地位</w:t>
            </w:r>
          </w:p>
        </w:tc>
        <w:tc>
          <w:tcPr>
            <w:tcW w:w="3061" w:type="dxa"/>
            <w:vAlign w:val="center"/>
          </w:tcPr>
          <w:p w14:paraId="17E8DDD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基本不涉及</w:t>
            </w:r>
          </w:p>
        </w:tc>
        <w:tc>
          <w:tcPr>
            <w:tcW w:w="4195" w:type="dxa"/>
            <w:vAlign w:val="center"/>
          </w:tcPr>
          <w:p w14:paraId="31CBC81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新辅助放化疗为核心治疗手段</w:t>
            </w:r>
          </w:p>
        </w:tc>
      </w:tr>
      <w:tr w14:paraId="3AE11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6A350E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手术金标准</w:t>
            </w:r>
          </w:p>
        </w:tc>
        <w:tc>
          <w:tcPr>
            <w:tcW w:w="3061" w:type="dxa"/>
            <w:vAlign w:val="center"/>
          </w:tcPr>
          <w:p w14:paraId="409FED8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结肠切除+淋巴结清扫</w:t>
            </w:r>
          </w:p>
        </w:tc>
        <w:tc>
          <w:tcPr>
            <w:tcW w:w="4195" w:type="dxa"/>
            <w:vAlign w:val="center"/>
          </w:tcPr>
          <w:p w14:paraId="45F7D95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TME（全直肠系膜切除）</w:t>
            </w:r>
          </w:p>
        </w:tc>
      </w:tr>
      <w:tr w14:paraId="0B250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0C076C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器官保留</w:t>
            </w:r>
          </w:p>
        </w:tc>
        <w:tc>
          <w:tcPr>
            <w:tcW w:w="3061" w:type="dxa"/>
            <w:vAlign w:val="center"/>
          </w:tcPr>
          <w:p w14:paraId="55DDF2F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不适用</w:t>
            </w:r>
          </w:p>
        </w:tc>
        <w:tc>
          <w:tcPr>
            <w:tcW w:w="4195" w:type="dxa"/>
            <w:vAlign w:val="center"/>
          </w:tcPr>
          <w:p w14:paraId="41F4B07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等待观察策略（cCR后暂不手术）</w:t>
            </w:r>
          </w:p>
        </w:tc>
      </w:tr>
      <w:tr w14:paraId="60FD9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4A057E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功能保全重点</w:t>
            </w:r>
          </w:p>
        </w:tc>
        <w:tc>
          <w:tcPr>
            <w:tcW w:w="3061" w:type="dxa"/>
            <w:vAlign w:val="center"/>
          </w:tcPr>
          <w:p w14:paraId="39C9288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无特殊</w:t>
            </w:r>
          </w:p>
        </w:tc>
        <w:tc>
          <w:tcPr>
            <w:tcW w:w="4195" w:type="dxa"/>
            <w:vAlign w:val="center"/>
          </w:tcPr>
          <w:p w14:paraId="1320003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保肛、保括约肌功能、避免永久造口</w:t>
            </w:r>
          </w:p>
        </w:tc>
      </w:tr>
      <w:tr w14:paraId="5065B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77B9C5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侧方淋巴结</w:t>
            </w:r>
          </w:p>
        </w:tc>
        <w:tc>
          <w:tcPr>
            <w:tcW w:w="3061" w:type="dxa"/>
            <w:vAlign w:val="center"/>
          </w:tcPr>
          <w:p w14:paraId="7BA30D8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不涉及</w:t>
            </w:r>
          </w:p>
        </w:tc>
        <w:tc>
          <w:tcPr>
            <w:tcW w:w="4195" w:type="dxa"/>
            <w:vAlign w:val="center"/>
          </w:tcPr>
          <w:p w14:paraId="0D2FAFB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需评估侧方淋巴结状态；确诊者先行新辅助放化疗，再考虑清扫</w:t>
            </w:r>
          </w:p>
        </w:tc>
      </w:tr>
      <w:tr w14:paraId="63E11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54D1E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局部切除</w:t>
            </w:r>
          </w:p>
        </w:tc>
        <w:tc>
          <w:tcPr>
            <w:tcW w:w="3061" w:type="dxa"/>
            <w:vAlign w:val="center"/>
          </w:tcPr>
          <w:p w14:paraId="6847A76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内镜下切除（早期）</w:t>
            </w:r>
          </w:p>
        </w:tc>
        <w:tc>
          <w:tcPr>
            <w:tcW w:w="4195" w:type="dxa"/>
            <w:vAlign w:val="center"/>
          </w:tcPr>
          <w:p w14:paraId="0A5B999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经肛局部切除术（新辅助后cCR/ncCR）</w:t>
            </w:r>
          </w:p>
        </w:tc>
      </w:tr>
      <w:tr w14:paraId="6EA25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8" w:type="dxa"/>
            <w:bottom w:w="6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6E3EC0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术后辅助化疗总疗程</w:t>
            </w:r>
          </w:p>
        </w:tc>
        <w:tc>
          <w:tcPr>
            <w:tcW w:w="3061" w:type="dxa"/>
            <w:vAlign w:val="center"/>
          </w:tcPr>
          <w:p w14:paraId="7274739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一般6个月</w:t>
            </w:r>
          </w:p>
        </w:tc>
        <w:tc>
          <w:tcPr>
            <w:tcW w:w="4195" w:type="dxa"/>
            <w:vAlign w:val="center"/>
          </w:tcPr>
          <w:p w14:paraId="605593E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术前术后总疗程6个月；yp≤Ⅱ期可考虑氟尿嘧啶类单药</w:t>
            </w:r>
          </w:p>
        </w:tc>
      </w:tr>
    </w:tbl>
    <w:p w14:paraId="47540C30">
      <w:pPr>
        <w:spacing w:before="0" w:after="0" w:line="360" w:lineRule="auto"/>
        <w:ind w:firstLine="482" w:firstLineChars="200"/>
        <w:jc w:val="both"/>
        <w:rPr>
          <w:rFonts w:ascii="Times New Roman" w:hAnsi="Times New Roman" w:eastAsia="宋体"/>
          <w:b/>
          <w:color w:val="000000"/>
          <w:sz w:val="24"/>
        </w:rPr>
      </w:pPr>
    </w:p>
    <w:p w14:paraId="2701F53B">
      <w:pPr>
        <w:spacing w:before="0" w:after="0" w:line="360" w:lineRule="auto"/>
        <w:ind w:firstLine="482"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整体流程可概括为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bCs/>
          <w:color w:val="000000"/>
          <w:sz w:val="24"/>
        </w:rPr>
        <w:t>门诊肠镜/影像怀疑</w:t>
      </w:r>
      <w:r>
        <w:rPr>
          <w:rFonts w:hint="eastAsia" w:ascii="Times New Roman" w:hAnsi="Times New Roman" w:eastAsia="宋体"/>
          <w:b/>
          <w:bCs/>
          <w:color w:val="000000"/>
          <w:sz w:val="24"/>
          <w:lang w:val="en-US" w:eastAsia="zh-CN"/>
        </w:rPr>
        <w:t>/确诊</w:t>
      </w:r>
      <w:r>
        <w:rPr>
          <w:rFonts w:ascii="Times New Roman" w:hAnsi="Times New Roman" w:eastAsia="宋体"/>
          <w:b/>
          <w:bCs/>
          <w:color w:val="000000"/>
          <w:sz w:val="24"/>
        </w:rPr>
        <w:t>直肠癌→收住院→完善盆腔高分辨率MRI及MMR/MSI检测→基于MRI行ESMO五层级风险分层→MDT按危险度制定围手术期方案（早期直接手术或局部切除；局部进展期行新辅助放化疗/TNT；dMMR/MSI-H优先免疫治疗）→评估疗效后决定手术、等待观察或局部切除→术后按分子分型分层辅助治疗→达到出院标准后出院随访。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58D1B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A6ED4D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A6ED4D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fficeWordTocPaginationV1" w:val="v5:4cfe27405682a6f76ec3d34ef672a16e87e9f26a1388d196f1446db167902b62:31b737488d50b7a25af4896207971283028ed749e66ea4e58037f57e2383a988:482e060a7ab79543dc61b31f8dd87b3fd3dbe3d497679c15952b5c1ef27cec37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61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uiPriority w:val="1"/>
  </w:style>
  <w:style w:type="table" w:default="1" w:styleId="3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  <w:pPr>
      <w:spacing w:line="240" w:lineRule="auto"/>
      <w:ind w:firstLine="0" w:firstLineChars="0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toc 2"/>
    <w:basedOn w:val="1"/>
    <w:next w:val="1"/>
    <w:semiHidden/>
    <w:unhideWhenUsed/>
    <w:uiPriority w:val="39"/>
    <w:pPr>
      <w:spacing w:line="240" w:lineRule="auto"/>
      <w:ind w:left="420" w:leftChars="200" w:firstLine="0" w:firstLineChars="0"/>
    </w:pPr>
  </w:style>
  <w:style w:type="paragraph" w:styleId="30">
    <w:name w:val="Body Text 2"/>
    <w:basedOn w:val="1"/>
    <w:link w:val="147"/>
    <w:unhideWhenUsed/>
    <w:uiPriority w:val="99"/>
    <w:pPr>
      <w:spacing w:after="120" w:line="480" w:lineRule="auto"/>
    </w:pPr>
  </w:style>
  <w:style w:type="paragraph" w:styleId="31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uiPriority w:val="99"/>
  </w:style>
  <w:style w:type="character" w:customStyle="1" w:styleId="138">
    <w:name w:val="Footer Char"/>
    <w:basedOn w:val="134"/>
    <w:link w:val="24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uiPriority w:val="99"/>
  </w:style>
  <w:style w:type="character" w:customStyle="1" w:styleId="147">
    <w:name w:val="Body Text 2 Char"/>
    <w:basedOn w:val="134"/>
    <w:link w:val="30"/>
    <w:uiPriority w:val="99"/>
  </w:style>
  <w:style w:type="character" w:customStyle="1" w:styleId="148">
    <w:name w:val="Body Text 3 Char"/>
    <w:basedOn w:val="134"/>
    <w:link w:val="17"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6190</Words>
  <Characters>7134</Characters>
  <Lines>0</Lines>
  <Paragraphs>0</Paragraphs>
  <TotalTime>0</TotalTime>
  <ScaleCrop>false</ScaleCrop>
  <LinksUpToDate>false</LinksUpToDate>
  <CharactersWithSpaces>7220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白哥</cp:lastModifiedBy>
  <dcterms:modified xsi:type="dcterms:W3CDTF">2026-10-13T14:43:14Z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eyJoZGlkIjoiNGI2NDg2OWQ5YThmNjY2Y2QwOTI3OGY0YTIxZTg2ZTYiLCJ1c2VySWQiOiIyMzQyMTI1NTAifQ==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674B9C29F4FE4D3AAC578EB0F3F1BA33_12</vt:lpwstr>
  </property>
</Properties>
</file>