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before="0" w:after="360" w:line="360" w:lineRule="auto"/>
        <w:ind w:firstLine="0"/>
        <w:jc w:val="center"/>
      </w:pPr>
      <w:r>
        <w:rPr>
          <w:rFonts w:ascii="Times New Roman" w:hAnsi="Times New Roman" w:eastAsia="黑体"/>
          <w:b/>
          <w:i w:val="0"/>
          <w:color w:val="000000"/>
          <w:sz w:val="60"/>
        </w:rPr>
        <w:t>以毛选思维破局</w:t>
      </w:r>
    </w:p>
    <w:p>
      <w:pPr>
        <w:spacing w:before="0" w:after="600" w:line="360" w:lineRule="auto"/>
        <w:ind w:firstLine="0"/>
        <w:jc w:val="center"/>
      </w:pPr>
      <w:r>
        <w:rPr>
          <w:rFonts w:ascii="Times New Roman" w:hAnsi="Times New Roman" w:eastAsia="楷体"/>
          <w:b w:val="0"/>
          <w:i w:val="0"/>
          <w:color w:val="000000"/>
          <w:sz w:val="32"/>
        </w:rPr>
        <w:t>——建筑施工企业工作指导书</w:t>
        <w:br/>
        <w:t>（全流程·可执行·配工具表）</w:t>
      </w:r>
    </w:p>
    <w:p/>
    <w:p/>
    <w:p/>
    <w:p/>
    <w:p/>
    <w:p/>
    <w:p/>
    <w:p/>
    <w:p>
      <w:pPr>
        <w:spacing w:before="0" w:after="160" w:line="360" w:lineRule="auto"/>
        <w:ind w:firstLine="0"/>
        <w:jc w:val="center"/>
      </w:pPr>
      <w:r>
        <w:rPr>
          <w:rFonts w:ascii="Times New Roman" w:hAnsi="Times New Roman" w:eastAsia="宋体"/>
          <w:b w:val="0"/>
          <w:i w:val="0"/>
          <w:color w:val="000000"/>
          <w:sz w:val="28"/>
        </w:rPr>
        <w:t>（企业内部使用）</w:t>
      </w:r>
    </w:p>
    <w:p>
      <w:pPr>
        <w:spacing w:before="0" w:after="160" w:line="360" w:lineRule="auto"/>
        <w:ind w:firstLine="0"/>
        <w:jc w:val="center"/>
      </w:pPr>
      <w:r>
        <w:rPr>
          <w:rFonts w:ascii="Times New Roman" w:hAnsi="Times New Roman" w:eastAsia="宋体"/>
          <w:b w:val="0"/>
          <w:i w:val="0"/>
          <w:color w:val="000000"/>
          <w:sz w:val="28"/>
        </w:rPr>
        <w:t>二〇二六年</w:t>
      </w:r>
    </w:p>
    <w:p>
      <w:r>
        <w:br w:type="page"/>
      </w:r>
    </w:p>
    <w:p>
      <w:pPr>
        <w:spacing w:before="0" w:after="200" w:line="240" w:lineRule="auto"/>
        <w:ind w:firstLine="0"/>
        <w:jc w:val="center"/>
      </w:pPr>
      <w:r>
        <w:rPr>
          <w:rFonts w:ascii="Times New Roman" w:hAnsi="Times New Roman" w:eastAsia="黑体"/>
          <w:b/>
          <w:i w:val="0"/>
          <w:color w:val="000000"/>
          <w:sz w:val="32"/>
        </w:rPr>
        <w:t>目  录</w:t>
      </w:r>
    </w:p>
    <w:p>
      <w:pPr>
        <w:pStyle w:val="TOC1"/>
        <w:tabs>
          <w:tab w:val="right" w:leader="dot" w:pos="9072"/>
        </w:tabs>
      </w:pPr>
      <w:r>
        <w:fldChar w:fldCharType="begin"/>
      </w:r>
      <w:r>
        <w:instrText xml:space="preserve"> TOC \o "1-2" \h \z \u </w:instrText>
      </w:r>
      <w:r>
        <w:fldChar w:fldCharType="separate"/>
      </w:r>
      <w:hyperlink w:anchor="_LarkToc00001" w:history="1">
        <w:r>
          <w:t>第一篇　思想篇——实事求是看战场，用好六步工作法</w:t>
        </w:r>
        <w:r>
          <w:tab/>
        </w:r>
        <w:r>
          <w:fldChar w:fldCharType="begin"/>
        </w:r>
        <w:r>
          <w:instrText xml:space="preserve"> PAGEREF _LarkToc00001 \h </w:instrText>
        </w:r>
        <w:r>
          <w:fldChar w:fldCharType="separate"/>
        </w:r>
        <w:r>
          <w:t>1</w:t>
        </w:r>
        <w:r>
          <w:fldChar w:fldCharType="end"/>
        </w:r>
      </w:hyperlink>
    </w:p>
    <w:p>
      <w:pPr>
        <w:pStyle w:val="TOC2"/>
        <w:tabs>
          <w:tab w:val="right" w:leader="dot" w:pos="9072"/>
        </w:tabs>
      </w:pPr>
      <w:hyperlink w:anchor="_LarkToc00002" w:history="1">
        <w:r>
          <w:t>第1章　实事求是：先看清建筑业的真实战场</w:t>
        </w:r>
        <w:r>
          <w:tab/>
        </w:r>
        <w:r>
          <w:fldChar w:fldCharType="begin"/>
        </w:r>
        <w:r>
          <w:instrText xml:space="preserve"> PAGEREF _LarkToc00002 \h </w:instrText>
        </w:r>
        <w:r>
          <w:fldChar w:fldCharType="separate"/>
        </w:r>
        <w:r>
          <w:t>1</w:t>
        </w:r>
        <w:r>
          <w:fldChar w:fldCharType="end"/>
        </w:r>
      </w:hyperlink>
    </w:p>
    <w:p>
      <w:pPr>
        <w:pStyle w:val="TOC2"/>
        <w:tabs>
          <w:tab w:val="right" w:leader="dot" w:pos="9072"/>
        </w:tabs>
      </w:pPr>
      <w:hyperlink w:anchor="_LarkToc00003" w:history="1">
        <w:r>
          <w:t>第2章　总方法：调查—分析—决策—试点—组织—复盘的六步工作法</w:t>
        </w:r>
        <w:r>
          <w:tab/>
        </w:r>
        <w:r>
          <w:fldChar w:fldCharType="begin"/>
        </w:r>
        <w:r>
          <w:instrText xml:space="preserve"> PAGEREF _LarkToc00003 \h </w:instrText>
        </w:r>
        <w:r>
          <w:fldChar w:fldCharType="separate"/>
        </w:r>
        <w:r>
          <w:t>7</w:t>
        </w:r>
        <w:r>
          <w:fldChar w:fldCharType="end"/>
        </w:r>
      </w:hyperlink>
    </w:p>
    <w:p>
      <w:pPr>
        <w:pStyle w:val="TOC2"/>
        <w:tabs>
          <w:tab w:val="right" w:leader="dot" w:pos="9072"/>
        </w:tabs>
      </w:pPr>
      <w:hyperlink w:anchor="_LarkToc00004" w:history="1">
        <w:r>
          <w:t>第3章　指导书使用说明：以魂统体、即查即用、对照复盘</w:t>
        </w:r>
        <w:r>
          <w:tab/>
        </w:r>
        <w:r>
          <w:fldChar w:fldCharType="begin"/>
        </w:r>
        <w:r>
          <w:instrText xml:space="preserve"> PAGEREF _LarkToc00004 \h </w:instrText>
        </w:r>
        <w:r>
          <w:fldChar w:fldCharType="separate"/>
        </w:r>
        <w:r>
          <w:t>16</w:t>
        </w:r>
        <w:r>
          <w:fldChar w:fldCharType="end"/>
        </w:r>
      </w:hyperlink>
    </w:p>
    <w:p>
      <w:pPr>
        <w:pStyle w:val="TOC1"/>
        <w:tabs>
          <w:tab w:val="right" w:leader="dot" w:pos="9072"/>
        </w:tabs>
      </w:pPr>
      <w:hyperlink w:anchor="_LarkToc00005" w:history="1">
        <w:r>
          <w:t>第二篇　业务篇——全流程作战，每一仗都有章法</w:t>
        </w:r>
        <w:r>
          <w:tab/>
        </w:r>
        <w:r>
          <w:fldChar w:fldCharType="begin"/>
        </w:r>
        <w:r>
          <w:instrText xml:space="preserve"> PAGEREF _LarkToc00005 \h </w:instrText>
        </w:r>
        <w:r>
          <w:fldChar w:fldCharType="separate"/>
        </w:r>
        <w:r>
          <w:t>21</w:t>
        </w:r>
        <w:r>
          <w:fldChar w:fldCharType="end"/>
        </w:r>
      </w:hyperlink>
    </w:p>
    <w:p>
      <w:pPr>
        <w:pStyle w:val="TOC2"/>
        <w:tabs>
          <w:tab w:val="right" w:leader="dot" w:pos="9072"/>
        </w:tabs>
      </w:pPr>
      <w:hyperlink w:anchor="_LarkToc00006" w:history="1">
        <w:r>
          <w:t>第4章　招投标：不打无准备、无把握之仗</w:t>
        </w:r>
        <w:r>
          <w:tab/>
        </w:r>
        <w:r>
          <w:fldChar w:fldCharType="begin"/>
        </w:r>
        <w:r>
          <w:instrText xml:space="preserve"> PAGEREF _LarkToc00006 \h </w:instrText>
        </w:r>
        <w:r>
          <w:fldChar w:fldCharType="separate"/>
        </w:r>
        <w:r>
          <w:t>22</w:t>
        </w:r>
        <w:r>
          <w:fldChar w:fldCharType="end"/>
        </w:r>
      </w:hyperlink>
    </w:p>
    <w:p>
      <w:pPr>
        <w:pStyle w:val="TOC2"/>
        <w:tabs>
          <w:tab w:val="right" w:leader="dot" w:pos="9072"/>
        </w:tabs>
      </w:pPr>
      <w:hyperlink w:anchor="_LarkToc00007" w:history="1">
        <w:r>
          <w:t>第5章　合同：守住项目生死的第一道闸门</w:t>
        </w:r>
        <w:r>
          <w:tab/>
        </w:r>
        <w:r>
          <w:fldChar w:fldCharType="begin"/>
        </w:r>
        <w:r>
          <w:instrText xml:space="preserve"> PAGEREF _LarkToc00007 \h </w:instrText>
        </w:r>
        <w:r>
          <w:fldChar w:fldCharType="separate"/>
        </w:r>
        <w:r>
          <w:t>39</w:t>
        </w:r>
        <w:r>
          <w:fldChar w:fldCharType="end"/>
        </w:r>
      </w:hyperlink>
    </w:p>
    <w:p>
      <w:pPr>
        <w:pStyle w:val="TOC2"/>
        <w:tabs>
          <w:tab w:val="right" w:leader="dot" w:pos="9072"/>
        </w:tabs>
      </w:pPr>
      <w:hyperlink w:anchor="_LarkToc00008" w:history="1">
        <w:r>
          <w:t>第6章　开工准备：不打无准备之仗，把仗放在“有准备”上打</w:t>
        </w:r>
        <w:r>
          <w:tab/>
        </w:r>
        <w:r>
          <w:fldChar w:fldCharType="begin"/>
        </w:r>
        <w:r>
          <w:instrText xml:space="preserve"> PAGEREF _LarkToc00008 \h </w:instrText>
        </w:r>
        <w:r>
          <w:fldChar w:fldCharType="separate"/>
        </w:r>
        <w:r>
          <w:t>52</w:t>
        </w:r>
        <w:r>
          <w:fldChar w:fldCharType="end"/>
        </w:r>
      </w:hyperlink>
    </w:p>
    <w:p>
      <w:pPr>
        <w:pStyle w:val="TOC2"/>
        <w:tabs>
          <w:tab w:val="right" w:leader="dot" w:pos="9072"/>
        </w:tabs>
      </w:pPr>
      <w:hyperlink w:anchor="_LarkToc00009" w:history="1">
        <w:r>
          <w:t>第7章　施工过程（上）：进度、安全、质量、文明施工</w:t>
        </w:r>
        <w:r>
          <w:tab/>
        </w:r>
        <w:r>
          <w:fldChar w:fldCharType="begin"/>
        </w:r>
        <w:r>
          <w:instrText xml:space="preserve"> PAGEREF _LarkToc00009 \h </w:instrText>
        </w:r>
        <w:r>
          <w:fldChar w:fldCharType="separate"/>
        </w:r>
        <w:r>
          <w:t>64</w:t>
        </w:r>
        <w:r>
          <w:fldChar w:fldCharType="end"/>
        </w:r>
      </w:hyperlink>
    </w:p>
    <w:p>
      <w:pPr>
        <w:pStyle w:val="TOC2"/>
        <w:tabs>
          <w:tab w:val="right" w:leader="dot" w:pos="9072"/>
        </w:tabs>
      </w:pPr>
      <w:hyperlink w:anchor="_LarkToc00010" w:history="1">
        <w:r>
          <w:t>第8章　施工过程（下）：成本、变更索赔、资金、税务与合规</w:t>
        </w:r>
        <w:r>
          <w:tab/>
        </w:r>
        <w:r>
          <w:fldChar w:fldCharType="begin"/>
        </w:r>
        <w:r>
          <w:instrText xml:space="preserve"> PAGEREF _LarkToc00010 \h </w:instrText>
        </w:r>
        <w:r>
          <w:fldChar w:fldCharType="separate"/>
        </w:r>
        <w:r>
          <w:t>88</w:t>
        </w:r>
        <w:r>
          <w:fldChar w:fldCharType="end"/>
        </w:r>
      </w:hyperlink>
    </w:p>
    <w:p>
      <w:pPr>
        <w:pStyle w:val="TOC2"/>
        <w:tabs>
          <w:tab w:val="right" w:leader="dot" w:pos="9072"/>
        </w:tabs>
      </w:pPr>
      <w:hyperlink w:anchor="_LarkToc00011" w:history="1">
        <w:r>
          <w:t>第9章　收尾验收：善始善终，把工程“干净利索”交出去</w:t>
        </w:r>
        <w:r>
          <w:tab/>
        </w:r>
        <w:r>
          <w:fldChar w:fldCharType="begin"/>
        </w:r>
        <w:r>
          <w:instrText xml:space="preserve"> PAGEREF _LarkToc00011 \h </w:instrText>
        </w:r>
        <w:r>
          <w:fldChar w:fldCharType="separate"/>
        </w:r>
        <w:r>
          <w:t>107</w:t>
        </w:r>
        <w:r>
          <w:fldChar w:fldCharType="end"/>
        </w:r>
      </w:hyperlink>
    </w:p>
    <w:p>
      <w:pPr>
        <w:pStyle w:val="TOC2"/>
        <w:tabs>
          <w:tab w:val="right" w:leader="dot" w:pos="9072"/>
        </w:tabs>
      </w:pPr>
      <w:hyperlink w:anchor="_LarkToc00012" w:history="1">
        <w:r>
          <w:t>第10章　竣工结算：把辛苦钱、风险钱一分不少地收回来</w:t>
        </w:r>
        <w:r>
          <w:tab/>
        </w:r>
        <w:r>
          <w:fldChar w:fldCharType="begin"/>
        </w:r>
        <w:r>
          <w:instrText xml:space="preserve"> PAGEREF _LarkToc00012 \h </w:instrText>
        </w:r>
        <w:r>
          <w:fldChar w:fldCharType="separate"/>
        </w:r>
        <w:r>
          <w:t>116</w:t>
        </w:r>
        <w:r>
          <w:fldChar w:fldCharType="end"/>
        </w:r>
      </w:hyperlink>
    </w:p>
    <w:p>
      <w:pPr>
        <w:pStyle w:val="TOC2"/>
        <w:tabs>
          <w:tab w:val="right" w:leader="dot" w:pos="9072"/>
        </w:tabs>
      </w:pPr>
      <w:hyperlink w:anchor="_LarkToc00013" w:history="1">
        <w:r>
          <w:t>第11章　质量保修：守好最后一道信誉与回款关</w:t>
        </w:r>
        <w:r>
          <w:tab/>
        </w:r>
        <w:r>
          <w:fldChar w:fldCharType="begin"/>
        </w:r>
        <w:r>
          <w:instrText xml:space="preserve"> PAGEREF _LarkToc00013 \h </w:instrText>
        </w:r>
        <w:r>
          <w:fldChar w:fldCharType="separate"/>
        </w:r>
        <w:r>
          <w:t>128</w:t>
        </w:r>
        <w:r>
          <w:fldChar w:fldCharType="end"/>
        </w:r>
      </w:hyperlink>
    </w:p>
    <w:p>
      <w:pPr>
        <w:pStyle w:val="TOC1"/>
        <w:tabs>
          <w:tab w:val="right" w:leader="dot" w:pos="9072"/>
        </w:tabs>
      </w:pPr>
      <w:hyperlink w:anchor="_LarkToc00014" w:history="1">
        <w:r>
          <w:t>第三篇　生命线篇——证据链、台账时效、现金流合规</w:t>
        </w:r>
        <w:r>
          <w:tab/>
        </w:r>
        <w:r>
          <w:fldChar w:fldCharType="begin"/>
        </w:r>
        <w:r>
          <w:instrText xml:space="preserve"> PAGEREF _LarkToc00014 \h </w:instrText>
        </w:r>
        <w:r>
          <w:fldChar w:fldCharType="separate"/>
        </w:r>
        <w:r>
          <w:t>136</w:t>
        </w:r>
        <w:r>
          <w:fldChar w:fldCharType="end"/>
        </w:r>
      </w:hyperlink>
    </w:p>
    <w:p>
      <w:pPr>
        <w:pStyle w:val="TOC2"/>
        <w:tabs>
          <w:tab w:val="right" w:leader="dot" w:pos="9072"/>
        </w:tabs>
      </w:pPr>
      <w:hyperlink w:anchor="_LarkToc00015" w:history="1">
        <w:r>
          <w:t>第12章　证据链：没有证据就没有权利</w:t>
        </w:r>
        <w:r>
          <w:tab/>
        </w:r>
        <w:r>
          <w:fldChar w:fldCharType="begin"/>
        </w:r>
        <w:r>
          <w:instrText xml:space="preserve"> PAGEREF _LarkToc00015 \h </w:instrText>
        </w:r>
        <w:r>
          <w:fldChar w:fldCharType="separate"/>
        </w:r>
        <w:r>
          <w:t>137</w:t>
        </w:r>
        <w:r>
          <w:fldChar w:fldCharType="end"/>
        </w:r>
      </w:hyperlink>
    </w:p>
    <w:p>
      <w:pPr>
        <w:pStyle w:val="TOC2"/>
        <w:tabs>
          <w:tab w:val="right" w:leader="dot" w:pos="9072"/>
        </w:tabs>
      </w:pPr>
      <w:hyperlink w:anchor="_LarkToc00016" w:history="1">
        <w:r>
          <w:t>第13章　台账与时效：过期失权的生命线</w:t>
        </w:r>
        <w:r>
          <w:tab/>
        </w:r>
        <w:r>
          <w:fldChar w:fldCharType="begin"/>
        </w:r>
        <w:r>
          <w:instrText xml:space="preserve"> PAGEREF _LarkToc00016 \h </w:instrText>
        </w:r>
        <w:r>
          <w:fldChar w:fldCharType="separate"/>
        </w:r>
        <w:r>
          <w:t>146</w:t>
        </w:r>
        <w:r>
          <w:fldChar w:fldCharType="end"/>
        </w:r>
      </w:hyperlink>
    </w:p>
    <w:p>
      <w:pPr>
        <w:pStyle w:val="TOC2"/>
        <w:tabs>
          <w:tab w:val="right" w:leader="dot" w:pos="9072"/>
        </w:tabs>
      </w:pPr>
      <w:hyperlink w:anchor="_LarkToc00017" w:history="1">
        <w:r>
          <w:t>第14章　现金流与合规：现金为王、合规为底</w:t>
        </w:r>
        <w:r>
          <w:tab/>
        </w:r>
        <w:r>
          <w:fldChar w:fldCharType="begin"/>
        </w:r>
        <w:r>
          <w:instrText xml:space="preserve"> PAGEREF _LarkToc00017 \h </w:instrText>
        </w:r>
        <w:r>
          <w:fldChar w:fldCharType="separate"/>
        </w:r>
        <w:r>
          <w:t>154</w:t>
        </w:r>
        <w:r>
          <w:fldChar w:fldCharType="end"/>
        </w:r>
      </w:hyperlink>
    </w:p>
    <w:p>
      <w:pPr>
        <w:pStyle w:val="TOC1"/>
        <w:tabs>
          <w:tab w:val="right" w:leader="dot" w:pos="9072"/>
        </w:tabs>
      </w:pPr>
      <w:hyperlink w:anchor="_LarkToc00018" w:history="1">
        <w:r>
          <w:t>第四篇　战略篇——持久战、选战场、谋转型、守底线、建队伍</w:t>
        </w:r>
        <w:r>
          <w:tab/>
        </w:r>
        <w:r>
          <w:fldChar w:fldCharType="begin"/>
        </w:r>
        <w:r>
          <w:instrText xml:space="preserve"> PAGEREF _LarkToc00018 \h </w:instrText>
        </w:r>
        <w:r>
          <w:fldChar w:fldCharType="separate"/>
        </w:r>
        <w:r>
          <w:t>162</w:t>
        </w:r>
        <w:r>
          <w:fldChar w:fldCharType="end"/>
        </w:r>
      </w:hyperlink>
    </w:p>
    <w:p>
      <w:pPr>
        <w:pStyle w:val="TOC2"/>
        <w:tabs>
          <w:tab w:val="right" w:leader="dot" w:pos="9072"/>
        </w:tabs>
      </w:pPr>
      <w:hyperlink w:anchor="_LarkToc00019" w:history="1">
        <w:r>
          <w:t>第15章　持久战：认清行业周期，做长期准备</w:t>
        </w:r>
        <w:r>
          <w:tab/>
        </w:r>
        <w:r>
          <w:fldChar w:fldCharType="begin"/>
        </w:r>
        <w:r>
          <w:instrText xml:space="preserve"> PAGEREF _LarkToc00019 \h </w:instrText>
        </w:r>
        <w:r>
          <w:fldChar w:fldCharType="separate"/>
        </w:r>
        <w:r>
          <w:t>163</w:t>
        </w:r>
        <w:r>
          <w:fldChar w:fldCharType="end"/>
        </w:r>
      </w:hyperlink>
    </w:p>
    <w:p>
      <w:pPr>
        <w:pStyle w:val="TOC2"/>
        <w:tabs>
          <w:tab w:val="right" w:leader="dot" w:pos="9072"/>
        </w:tabs>
      </w:pPr>
      <w:hyperlink w:anchor="_LarkToc00020" w:history="1">
        <w:r>
          <w:t>第16章　差异化选场：不打无把握之仗，选择有利战场</w:t>
        </w:r>
        <w:r>
          <w:tab/>
        </w:r>
        <w:r>
          <w:fldChar w:fldCharType="begin"/>
        </w:r>
        <w:r>
          <w:instrText xml:space="preserve"> PAGEREF _LarkToc00020 \h </w:instrText>
        </w:r>
        <w:r>
          <w:fldChar w:fldCharType="separate"/>
        </w:r>
        <w:r>
          <w:t>169</w:t>
        </w:r>
        <w:r>
          <w:fldChar w:fldCharType="end"/>
        </w:r>
      </w:hyperlink>
    </w:p>
    <w:p>
      <w:pPr>
        <w:pStyle w:val="TOC2"/>
        <w:tabs>
          <w:tab w:val="right" w:leader="dot" w:pos="9072"/>
        </w:tabs>
      </w:pPr>
      <w:hyperlink w:anchor="_LarkToc00021" w:history="1">
        <w:r>
          <w:t>第17章　转型突围：从“低端承包”向“能力＋服务”突围</w:t>
        </w:r>
        <w:r>
          <w:tab/>
        </w:r>
        <w:r>
          <w:fldChar w:fldCharType="begin"/>
        </w:r>
        <w:r>
          <w:instrText xml:space="preserve"> PAGEREF _LarkToc00021 \h </w:instrText>
        </w:r>
        <w:r>
          <w:fldChar w:fldCharType="separate"/>
        </w:r>
        <w:r>
          <w:t>175</w:t>
        </w:r>
        <w:r>
          <w:fldChar w:fldCharType="end"/>
        </w:r>
      </w:hyperlink>
    </w:p>
    <w:p>
      <w:pPr>
        <w:pStyle w:val="TOC2"/>
        <w:tabs>
          <w:tab w:val="right" w:leader="dot" w:pos="9072"/>
        </w:tabs>
      </w:pPr>
      <w:hyperlink w:anchor="_LarkToc00022" w:history="1">
        <w:r>
          <w:t>第18章　安全质量底线：一票否决的“根据地”</w:t>
        </w:r>
        <w:r>
          <w:tab/>
        </w:r>
        <w:r>
          <w:fldChar w:fldCharType="begin"/>
        </w:r>
        <w:r>
          <w:instrText xml:space="preserve"> PAGEREF _LarkToc00022 \h </w:instrText>
        </w:r>
        <w:r>
          <w:fldChar w:fldCharType="separate"/>
        </w:r>
        <w:r>
          <w:t>180</w:t>
        </w:r>
        <w:r>
          <w:fldChar w:fldCharType="end"/>
        </w:r>
      </w:hyperlink>
    </w:p>
    <w:p>
      <w:pPr>
        <w:pStyle w:val="TOC2"/>
        <w:tabs>
          <w:tab w:val="right" w:leader="dot" w:pos="9072"/>
        </w:tabs>
      </w:pPr>
      <w:hyperlink w:anchor="_LarkToc00023" w:history="1">
        <w:r>
          <w:t>第19章　队伍建设：政治路线确定之后，干部就是决定因素</w:t>
        </w:r>
        <w:r>
          <w:tab/>
        </w:r>
        <w:r>
          <w:fldChar w:fldCharType="begin"/>
        </w:r>
        <w:r>
          <w:instrText xml:space="preserve"> PAGEREF _LarkToc00023 \h </w:instrText>
        </w:r>
        <w:r>
          <w:fldChar w:fldCharType="separate"/>
        </w:r>
        <w:r>
          <w:t>188</w:t>
        </w:r>
        <w:r>
          <w:fldChar w:fldCharType="end"/>
        </w:r>
      </w:hyperlink>
    </w:p>
    <w:p>
      <w:pPr>
        <w:pStyle w:val="TOC1"/>
        <w:tabs>
          <w:tab w:val="right" w:leader="dot" w:pos="9072"/>
        </w:tabs>
      </w:pPr>
      <w:hyperlink w:anchor="_LarkToc00024" w:history="1">
        <w:r>
          <w:t>第五篇　方法篇——弹钢琴、搞调研、抓复盘、正作风</w:t>
        </w:r>
        <w:r>
          <w:tab/>
        </w:r>
        <w:r>
          <w:fldChar w:fldCharType="begin"/>
        </w:r>
        <w:r>
          <w:instrText xml:space="preserve"> PAGEREF _LarkToc00024 \h </w:instrText>
        </w:r>
        <w:r>
          <w:fldChar w:fldCharType="separate"/>
        </w:r>
        <w:r>
          <w:t>195</w:t>
        </w:r>
        <w:r>
          <w:fldChar w:fldCharType="end"/>
        </w:r>
      </w:hyperlink>
    </w:p>
    <w:p>
      <w:pPr>
        <w:pStyle w:val="TOC2"/>
        <w:tabs>
          <w:tab w:val="right" w:leader="dot" w:pos="9072"/>
        </w:tabs>
      </w:pPr>
      <w:hyperlink w:anchor="_LarkToc00025" w:history="1">
        <w:r>
          <w:t>第20章　班子“弹钢琴”：统筹兼顾、抓主要矛盾</w:t>
        </w:r>
        <w:r>
          <w:tab/>
        </w:r>
        <w:r>
          <w:fldChar w:fldCharType="begin"/>
        </w:r>
        <w:r>
          <w:instrText xml:space="preserve"> PAGEREF _LarkToc00025 \h </w:instrText>
        </w:r>
        <w:r>
          <w:fldChar w:fldCharType="separate"/>
        </w:r>
        <w:r>
          <w:t>196</w:t>
        </w:r>
        <w:r>
          <w:fldChar w:fldCharType="end"/>
        </w:r>
      </w:hyperlink>
    </w:p>
    <w:p>
      <w:pPr>
        <w:pStyle w:val="TOC2"/>
        <w:tabs>
          <w:tab w:val="right" w:leader="dot" w:pos="9072"/>
        </w:tabs>
      </w:pPr>
      <w:hyperlink w:anchor="_LarkToc00026" w:history="1">
        <w:r>
          <w:t>第21章　调查研究：没有调查就没有发言权</w:t>
        </w:r>
        <w:r>
          <w:tab/>
        </w:r>
        <w:r>
          <w:fldChar w:fldCharType="begin"/>
        </w:r>
        <w:r>
          <w:instrText xml:space="preserve"> PAGEREF _LarkToc00026 \h </w:instrText>
        </w:r>
        <w:r>
          <w:fldChar w:fldCharType="separate"/>
        </w:r>
        <w:r>
          <w:t>202</w:t>
        </w:r>
        <w:r>
          <w:fldChar w:fldCharType="end"/>
        </w:r>
      </w:hyperlink>
    </w:p>
    <w:p>
      <w:pPr>
        <w:pStyle w:val="TOC2"/>
        <w:tabs>
          <w:tab w:val="right" w:leader="dot" w:pos="9072"/>
        </w:tabs>
      </w:pPr>
      <w:hyperlink w:anchor="_LarkToc00027" w:history="1">
        <w:r>
          <w:t>第22章　复盘与自我革命：实践—认识—再实践</w:t>
        </w:r>
        <w:r>
          <w:tab/>
        </w:r>
        <w:r>
          <w:fldChar w:fldCharType="begin"/>
        </w:r>
        <w:r>
          <w:instrText xml:space="preserve"> PAGEREF _LarkToc00027 \h </w:instrText>
        </w:r>
        <w:r>
          <w:fldChar w:fldCharType="separate"/>
        </w:r>
        <w:r>
          <w:t>208</w:t>
        </w:r>
        <w:r>
          <w:fldChar w:fldCharType="end"/>
        </w:r>
      </w:hyperlink>
    </w:p>
    <w:p>
      <w:pPr>
        <w:pStyle w:val="TOC2"/>
        <w:tabs>
          <w:tab w:val="right" w:leader="dot" w:pos="9072"/>
        </w:tabs>
      </w:pPr>
      <w:hyperlink w:anchor="_LarkToc00028" w:history="1">
        <w:r>
          <w:t>第23章　作风建设：实事求是、艰苦奋斗、廉洁从业</w:t>
        </w:r>
        <w:r>
          <w:tab/>
        </w:r>
        <w:r>
          <w:fldChar w:fldCharType="begin"/>
        </w:r>
        <w:r>
          <w:instrText xml:space="preserve"> PAGEREF _LarkToc00028 \h </w:instrText>
        </w:r>
        <w:r>
          <w:fldChar w:fldCharType="separate"/>
        </w:r>
        <w:r>
          <w:t>217</w:t>
        </w:r>
        <w:r>
          <w:fldChar w:fldCharType="end"/>
        </w:r>
      </w:hyperlink>
    </w:p>
    <w:p>
      <w:pPr>
        <w:pStyle w:val="TOC1"/>
        <w:tabs>
          <w:tab w:val="right" w:leader="dot" w:pos="9072"/>
        </w:tabs>
      </w:pPr>
      <w:hyperlink w:anchor="_LarkToc00029" w:history="1">
        <w:r>
          <w:t>第六篇　专项实务篇——专业纵深，把每门功课做到极致</w:t>
        </w:r>
        <w:r>
          <w:tab/>
        </w:r>
        <w:r>
          <w:fldChar w:fldCharType="begin"/>
        </w:r>
        <w:r>
          <w:instrText xml:space="preserve"> PAGEREF _LarkToc00029 \h </w:instrText>
        </w:r>
        <w:r>
          <w:fldChar w:fldCharType="separate"/>
        </w:r>
        <w:r>
          <w:t>222</w:t>
        </w:r>
        <w:r>
          <w:fldChar w:fldCharType="end"/>
        </w:r>
      </w:hyperlink>
    </w:p>
    <w:p>
      <w:pPr>
        <w:pStyle w:val="TOC2"/>
        <w:tabs>
          <w:tab w:val="right" w:leader="dot" w:pos="9072"/>
        </w:tabs>
      </w:pPr>
      <w:hyperlink w:anchor="_LarkToc00030" w:history="1">
        <w:r>
          <w:t>第24章　技术管理：方案先行、技术保进度保质量</w:t>
        </w:r>
        <w:r>
          <w:tab/>
        </w:r>
        <w:r>
          <w:fldChar w:fldCharType="begin"/>
        </w:r>
        <w:r>
          <w:instrText xml:space="preserve"> PAGEREF _LarkToc00030 \h </w:instrText>
        </w:r>
        <w:r>
          <w:fldChar w:fldCharType="separate"/>
        </w:r>
        <w:r>
          <w:t>224</w:t>
        </w:r>
        <w:r>
          <w:fldChar w:fldCharType="end"/>
        </w:r>
      </w:hyperlink>
    </w:p>
    <w:p>
      <w:pPr>
        <w:pStyle w:val="TOC2"/>
        <w:tabs>
          <w:tab w:val="right" w:leader="dot" w:pos="9072"/>
        </w:tabs>
      </w:pPr>
      <w:hyperlink w:anchor="_LarkToc00031" w:history="1">
        <w:r>
          <w:t>第25章　质量管理：百年大计、过程精品与工程创优</w:t>
        </w:r>
        <w:r>
          <w:tab/>
        </w:r>
        <w:r>
          <w:fldChar w:fldCharType="begin"/>
        </w:r>
        <w:r>
          <w:instrText xml:space="preserve"> PAGEREF _LarkToc00031 \h </w:instrText>
        </w:r>
        <w:r>
          <w:fldChar w:fldCharType="separate"/>
        </w:r>
        <w:r>
          <w:t>236</w:t>
        </w:r>
        <w:r>
          <w:fldChar w:fldCharType="end"/>
        </w:r>
      </w:hyperlink>
    </w:p>
    <w:p>
      <w:pPr>
        <w:pStyle w:val="TOC2"/>
        <w:tabs>
          <w:tab w:val="right" w:leader="dot" w:pos="9072"/>
        </w:tabs>
      </w:pPr>
      <w:hyperlink w:anchor="_LarkToc00032" w:history="1">
        <w:r>
          <w:t>第26章　物资管理：把好材料进出与成本关</w:t>
        </w:r>
        <w:r>
          <w:tab/>
        </w:r>
        <w:r>
          <w:fldChar w:fldCharType="begin"/>
        </w:r>
        <w:r>
          <w:instrText xml:space="preserve"> PAGEREF _LarkToc00032 \h </w:instrText>
        </w:r>
        <w:r>
          <w:fldChar w:fldCharType="separate"/>
        </w:r>
        <w:r>
          <w:t>249</w:t>
        </w:r>
        <w:r>
          <w:fldChar w:fldCharType="end"/>
        </w:r>
      </w:hyperlink>
    </w:p>
    <w:p>
      <w:pPr>
        <w:pStyle w:val="TOC2"/>
        <w:tabs>
          <w:tab w:val="right" w:leader="dot" w:pos="9072"/>
        </w:tabs>
      </w:pPr>
      <w:hyperlink w:anchor="_LarkToc00033" w:history="1">
        <w:r>
          <w:t>第27章　机械设备管理：大型机械的安全与效率</w:t>
        </w:r>
        <w:r>
          <w:tab/>
        </w:r>
        <w:r>
          <w:fldChar w:fldCharType="begin"/>
        </w:r>
        <w:r>
          <w:instrText xml:space="preserve"> PAGEREF _LarkToc00033 \h </w:instrText>
        </w:r>
        <w:r>
          <w:fldChar w:fldCharType="separate"/>
        </w:r>
        <w:r>
          <w:t>260</w:t>
        </w:r>
        <w:r>
          <w:fldChar w:fldCharType="end"/>
        </w:r>
      </w:hyperlink>
    </w:p>
    <w:p>
      <w:pPr>
        <w:pStyle w:val="TOC2"/>
        <w:tabs>
          <w:tab w:val="right" w:leader="dot" w:pos="9072"/>
        </w:tabs>
      </w:pPr>
      <w:hyperlink w:anchor="_LarkToc00034" w:history="1">
        <w:r>
          <w:t>第28章　分包与劳务管理：合规用工、专业协同</w:t>
        </w:r>
        <w:r>
          <w:tab/>
        </w:r>
        <w:r>
          <w:fldChar w:fldCharType="begin"/>
        </w:r>
        <w:r>
          <w:instrText xml:space="preserve"> PAGEREF _LarkToc00034 \h </w:instrText>
        </w:r>
        <w:r>
          <w:fldChar w:fldCharType="separate"/>
        </w:r>
        <w:r>
          <w:t>271</w:t>
        </w:r>
        <w:r>
          <w:fldChar w:fldCharType="end"/>
        </w:r>
      </w:hyperlink>
    </w:p>
    <w:p>
      <w:pPr>
        <w:pStyle w:val="TOC2"/>
        <w:tabs>
          <w:tab w:val="right" w:leader="dot" w:pos="9072"/>
        </w:tabs>
      </w:pPr>
      <w:hyperlink w:anchor="_LarkToc00035" w:history="1">
        <w:r>
          <w:t>第29章　财务核算与税务：算清账、开好票、交好税</w:t>
        </w:r>
        <w:r>
          <w:tab/>
        </w:r>
        <w:r>
          <w:fldChar w:fldCharType="begin"/>
        </w:r>
        <w:r>
          <w:instrText xml:space="preserve"> PAGEREF _LarkToc00035 \h </w:instrText>
        </w:r>
        <w:r>
          <w:fldChar w:fldCharType="separate"/>
        </w:r>
        <w:r>
          <w:t>281</w:t>
        </w:r>
        <w:r>
          <w:fldChar w:fldCharType="end"/>
        </w:r>
      </w:hyperlink>
    </w:p>
    <w:p>
      <w:pPr>
        <w:pStyle w:val="TOC2"/>
        <w:tabs>
          <w:tab w:val="right" w:leader="dot" w:pos="9072"/>
        </w:tabs>
      </w:pPr>
      <w:hyperlink w:anchor="_LarkToc00036" w:history="1">
        <w:r>
          <w:t>第30章　法务诉讼与债权清收：会打官司、能拿回钱</w:t>
        </w:r>
        <w:r>
          <w:tab/>
        </w:r>
        <w:r>
          <w:fldChar w:fldCharType="begin"/>
        </w:r>
        <w:r>
          <w:instrText xml:space="preserve"> PAGEREF _LarkToc00036 \h </w:instrText>
        </w:r>
        <w:r>
          <w:fldChar w:fldCharType="separate"/>
        </w:r>
        <w:r>
          <w:t>293</w:t>
        </w:r>
        <w:r>
          <w:fldChar w:fldCharType="end"/>
        </w:r>
      </w:hyperlink>
    </w:p>
    <w:p>
      <w:pPr>
        <w:pStyle w:val="TOC2"/>
        <w:tabs>
          <w:tab w:val="right" w:leader="dot" w:pos="9072"/>
        </w:tabs>
      </w:pPr>
      <w:hyperlink w:anchor="_LarkToc00037" w:history="1">
        <w:r>
          <w:t>第31章　安全生产专项深化：危大工程与各专项管控</w:t>
        </w:r>
        <w:r>
          <w:tab/>
        </w:r>
        <w:r>
          <w:fldChar w:fldCharType="begin"/>
        </w:r>
        <w:r>
          <w:instrText xml:space="preserve"> PAGEREF _LarkToc00037 \h </w:instrText>
        </w:r>
        <w:r>
          <w:fldChar w:fldCharType="separate"/>
        </w:r>
        <w:r>
          <w:t>306</w:t>
        </w:r>
        <w:r>
          <w:fldChar w:fldCharType="end"/>
        </w:r>
      </w:hyperlink>
    </w:p>
    <w:p>
      <w:pPr>
        <w:pStyle w:val="TOC2"/>
        <w:tabs>
          <w:tab w:val="right" w:leader="dot" w:pos="9072"/>
        </w:tabs>
      </w:pPr>
      <w:hyperlink w:anchor="_LarkToc00038" w:history="1">
        <w:r>
          <w:t>第32章　绿色文明施工与环境保护</w:t>
        </w:r>
        <w:r>
          <w:tab/>
        </w:r>
        <w:r>
          <w:fldChar w:fldCharType="begin"/>
        </w:r>
        <w:r>
          <w:instrText xml:space="preserve"> PAGEREF _LarkToc00038 \h </w:instrText>
        </w:r>
        <w:r>
          <w:fldChar w:fldCharType="separate"/>
        </w:r>
        <w:r>
          <w:t>319</w:t>
        </w:r>
        <w:r>
          <w:fldChar w:fldCharType="end"/>
        </w:r>
      </w:hyperlink>
    </w:p>
    <w:p>
      <w:pPr>
        <w:pStyle w:val="TOC1"/>
        <w:tabs>
          <w:tab w:val="right" w:leader="dot" w:pos="9072"/>
        </w:tabs>
      </w:pPr>
      <w:hyperlink w:anchor="_LarkToc00039" w:history="1">
        <w:r>
          <w:t>第七篇　新业务篇——突围转型的新战场</w:t>
        </w:r>
        <w:r>
          <w:tab/>
        </w:r>
        <w:r>
          <w:fldChar w:fldCharType="begin"/>
        </w:r>
        <w:r>
          <w:instrText xml:space="preserve"> PAGEREF _LarkToc00039 \h </w:instrText>
        </w:r>
        <w:r>
          <w:fldChar w:fldCharType="separate"/>
        </w:r>
        <w:r>
          <w:t>328</w:t>
        </w:r>
        <w:r>
          <w:fldChar w:fldCharType="end"/>
        </w:r>
      </w:hyperlink>
    </w:p>
    <w:p>
      <w:pPr>
        <w:pStyle w:val="TOC2"/>
        <w:tabs>
          <w:tab w:val="right" w:leader="dot" w:pos="9072"/>
        </w:tabs>
      </w:pPr>
      <w:hyperlink w:anchor="_LarkToc00040" w:history="1">
        <w:r>
          <w:t>第33章　装配式建筑：像造汽车一样造房子</w:t>
        </w:r>
        <w:r>
          <w:tab/>
        </w:r>
        <w:r>
          <w:fldChar w:fldCharType="begin"/>
        </w:r>
        <w:r>
          <w:instrText xml:space="preserve"> PAGEREF _LarkToc00040 \h </w:instrText>
        </w:r>
        <w:r>
          <w:fldChar w:fldCharType="separate"/>
        </w:r>
        <w:r>
          <w:t>329</w:t>
        </w:r>
        <w:r>
          <w:fldChar w:fldCharType="end"/>
        </w:r>
      </w:hyperlink>
    </w:p>
    <w:p>
      <w:pPr>
        <w:pStyle w:val="TOC2"/>
        <w:tabs>
          <w:tab w:val="right" w:leader="dot" w:pos="9072"/>
        </w:tabs>
      </w:pPr>
      <w:hyperlink w:anchor="_LarkToc00041" w:history="1">
        <w:r>
          <w:t>第34章　工程总承包（EPC）与投建营一体化</w:t>
        </w:r>
        <w:r>
          <w:tab/>
        </w:r>
        <w:r>
          <w:fldChar w:fldCharType="begin"/>
        </w:r>
        <w:r>
          <w:instrText xml:space="preserve"> PAGEREF _LarkToc00041 \h </w:instrText>
        </w:r>
        <w:r>
          <w:fldChar w:fldCharType="separate"/>
        </w:r>
        <w:r>
          <w:t>338</w:t>
        </w:r>
        <w:r>
          <w:fldChar w:fldCharType="end"/>
        </w:r>
      </w:hyperlink>
    </w:p>
    <w:p>
      <w:pPr>
        <w:pStyle w:val="TOC2"/>
        <w:tabs>
          <w:tab w:val="right" w:leader="dot" w:pos="9072"/>
        </w:tabs>
      </w:pPr>
      <w:hyperlink w:anchor="_LarkToc00042" w:history="1">
        <w:r>
          <w:t>第35章　智慧工地与BIM、数字化施工</w:t>
        </w:r>
        <w:r>
          <w:tab/>
        </w:r>
        <w:r>
          <w:fldChar w:fldCharType="begin"/>
        </w:r>
        <w:r>
          <w:instrText xml:space="preserve"> PAGEREF _LarkToc00042 \h </w:instrText>
        </w:r>
        <w:r>
          <w:fldChar w:fldCharType="separate"/>
        </w:r>
        <w:r>
          <w:t>347</w:t>
        </w:r>
        <w:r>
          <w:fldChar w:fldCharType="end"/>
        </w:r>
      </w:hyperlink>
    </w:p>
    <w:p>
      <w:pPr>
        <w:pStyle w:val="TOC2"/>
        <w:tabs>
          <w:tab w:val="right" w:leader="dot" w:pos="9072"/>
        </w:tabs>
      </w:pPr>
      <w:hyperlink w:anchor="_LarkToc00043" w:history="1">
        <w:r>
          <w:t>第36章　绿色低碳建筑：绿色建筑与“双碳”实践</w:t>
        </w:r>
        <w:r>
          <w:tab/>
        </w:r>
        <w:r>
          <w:fldChar w:fldCharType="begin"/>
        </w:r>
        <w:r>
          <w:instrText xml:space="preserve"> PAGEREF _LarkToc00043 \h </w:instrText>
        </w:r>
        <w:r>
          <w:fldChar w:fldCharType="separate"/>
        </w:r>
        <w:r>
          <w:t>355</w:t>
        </w:r>
        <w:r>
          <w:fldChar w:fldCharType="end"/>
        </w:r>
      </w:hyperlink>
    </w:p>
    <w:p>
      <w:pPr>
        <w:pStyle w:val="TOC2"/>
        <w:tabs>
          <w:tab w:val="right" w:leader="dot" w:pos="9072"/>
        </w:tabs>
      </w:pPr>
      <w:hyperlink w:anchor="_LarkToc00044" w:history="1">
        <w:r>
          <w:t>第37章　海外工程：走出去的合规与风险管理</w:t>
        </w:r>
        <w:r>
          <w:tab/>
        </w:r>
        <w:r>
          <w:fldChar w:fldCharType="begin"/>
        </w:r>
        <w:r>
          <w:instrText xml:space="preserve"> PAGEREF _LarkToc00044 \h </w:instrText>
        </w:r>
        <w:r>
          <w:fldChar w:fldCharType="separate"/>
        </w:r>
        <w:r>
          <w:t>363</w:t>
        </w:r>
        <w:r>
          <w:fldChar w:fldCharType="end"/>
        </w:r>
      </w:hyperlink>
    </w:p>
    <w:p>
      <w:pPr>
        <w:pStyle w:val="TOC1"/>
        <w:tabs>
          <w:tab w:val="right" w:leader="dot" w:pos="9072"/>
        </w:tabs>
      </w:pPr>
      <w:hyperlink w:anchor="_LarkToc00045" w:history="1">
        <w:r>
          <w:t>附　册</w:t>
        </w:r>
        <w:r>
          <w:tab/>
        </w:r>
        <w:r>
          <w:fldChar w:fldCharType="begin"/>
        </w:r>
        <w:r>
          <w:instrText xml:space="preserve"> PAGEREF _LarkToc00045 \h </w:instrText>
        </w:r>
        <w:r>
          <w:fldChar w:fldCharType="separate"/>
        </w:r>
        <w:r>
          <w:t>373</w:t>
        </w:r>
        <w:r>
          <w:fldChar w:fldCharType="end"/>
        </w:r>
      </w:hyperlink>
    </w:p>
    <w:p>
      <w:pPr>
        <w:pStyle w:val="TOC1"/>
        <w:tabs>
          <w:tab w:val="right" w:leader="dot" w:pos="9072"/>
        </w:tabs>
      </w:pPr>
      <w:hyperlink w:anchor="_LarkToc00046" w:history="1">
        <w:r>
          <w:t>附录A　毛选思维×全流程对照总图</w:t>
        </w:r>
        <w:r>
          <w:tab/>
        </w:r>
        <w:r>
          <w:fldChar w:fldCharType="begin"/>
        </w:r>
        <w:r>
          <w:instrText xml:space="preserve"> PAGEREF _LarkToc00046 \h </w:instrText>
        </w:r>
        <w:r>
          <w:fldChar w:fldCharType="separate"/>
        </w:r>
        <w:r>
          <w:t>374</w:t>
        </w:r>
        <w:r>
          <w:fldChar w:fldCharType="end"/>
        </w:r>
      </w:hyperlink>
    </w:p>
    <w:p>
      <w:pPr>
        <w:pStyle w:val="TOC1"/>
        <w:tabs>
          <w:tab w:val="right" w:leader="dot" w:pos="9072"/>
        </w:tabs>
      </w:pPr>
      <w:hyperlink w:anchor="_LarkToc00047" w:history="1">
        <w:r>
          <w:t>附录B　十二张战法卡（施工版）</w:t>
        </w:r>
        <w:r>
          <w:tab/>
        </w:r>
        <w:r>
          <w:fldChar w:fldCharType="begin"/>
        </w:r>
        <w:r>
          <w:instrText xml:space="preserve"> PAGEREF _LarkToc00047 \h </w:instrText>
        </w:r>
        <w:r>
          <w:fldChar w:fldCharType="separate"/>
        </w:r>
        <w:r>
          <w:t>375</w:t>
        </w:r>
        <w:r>
          <w:fldChar w:fldCharType="end"/>
        </w:r>
      </w:hyperlink>
    </w:p>
    <w:p>
      <w:pPr>
        <w:pStyle w:val="TOC1"/>
        <w:tabs>
          <w:tab w:val="right" w:leader="dot" w:pos="9072"/>
        </w:tabs>
      </w:pPr>
      <w:hyperlink w:anchor="_LarkToc00048" w:history="1">
        <w:r>
          <w:t>附录C　空白模板复印索引＋空白表汇编</w:t>
        </w:r>
        <w:r>
          <w:tab/>
        </w:r>
        <w:r>
          <w:fldChar w:fldCharType="begin"/>
        </w:r>
        <w:r>
          <w:instrText xml:space="preserve"> PAGEREF _LarkToc00048 \h </w:instrText>
        </w:r>
        <w:r>
          <w:fldChar w:fldCharType="separate"/>
        </w:r>
        <w:r>
          <w:t>380</w:t>
        </w:r>
        <w:r>
          <w:fldChar w:fldCharType="end"/>
        </w:r>
      </w:hyperlink>
    </w:p>
    <w:p>
      <w:pPr>
        <w:pStyle w:val="TOC1"/>
        <w:tabs>
          <w:tab w:val="right" w:leader="dot" w:pos="9072"/>
        </w:tabs>
      </w:pPr>
      <w:hyperlink w:anchor="_LarkToc00049" w:history="1">
        <w:r>
          <w:t>附录D　法规标准引用核查表</w:t>
        </w:r>
        <w:r>
          <w:tab/>
        </w:r>
        <w:r>
          <w:fldChar w:fldCharType="begin"/>
        </w:r>
        <w:r>
          <w:instrText xml:space="preserve"> PAGEREF _LarkToc00049 \h </w:instrText>
        </w:r>
        <w:r>
          <w:fldChar w:fldCharType="separate"/>
        </w:r>
        <w:r>
          <w:t>399</w:t>
        </w:r>
        <w:r>
          <w:fldChar w:fldCharType="end"/>
        </w:r>
      </w:hyperlink>
      <w:r>
        <w:fldChar w:fldCharType="end"/>
      </w:r>
    </w:p>
    <w:p>
      <w:pPr>
        <w:pageBreakBefore/>
        <w:spacing w:before="0" w:after="200" w:line="240" w:lineRule="auto"/>
        <w:ind w:firstLine="0"/>
        <w:jc w:val="center"/>
      </w:pPr>
      <w:r>
        <w:rPr>
          <w:rFonts w:ascii="Times New Roman" w:hAnsi="Times New Roman" w:eastAsia="黑体"/>
          <w:b/>
          <w:i w:val="0"/>
          <w:color w:val="000000"/>
          <w:sz w:val="32"/>
        </w:rPr>
        <w:t>附件索引</w:t>
      </w:r>
    </w:p>
    <w:p>
      <w:pPr>
        <w:pStyle w:val="TOC3"/>
        <w:tabs>
          <w:tab w:val="right" w:leader="dot" w:pos="9072"/>
        </w:tabs>
      </w:pPr>
      <w:r>
        <w:fldChar w:fldCharType="begin"/>
      </w:r>
      <w:r>
        <w:instrText xml:space="preserve"> TOC \o "3-3" \h \z \u </w:instrText>
      </w:r>
      <w:r>
        <w:fldChar w:fldCharType="separate"/>
      </w:r>
      <w:hyperlink w:anchor="_LarkToc00050" w:history="1">
        <w:r>
          <w:t>附件1-1　企业（项目部）困局体检与行业出清信号评分表</w:t>
        </w:r>
        <w:r>
          <w:tab/>
        </w:r>
        <w:r>
          <w:fldChar w:fldCharType="begin"/>
        </w:r>
        <w:r>
          <w:instrText xml:space="preserve"> PAGEREF _LarkToc00050 \h </w:instrText>
        </w:r>
        <w:r>
          <w:fldChar w:fldCharType="separate"/>
        </w:r>
        <w:r>
          <w:t>5</w:t>
        </w:r>
        <w:r>
          <w:fldChar w:fldCharType="end"/>
        </w:r>
      </w:hyperlink>
    </w:p>
    <w:p>
      <w:pPr>
        <w:pStyle w:val="TOC3"/>
        <w:tabs>
          <w:tab w:val="right" w:leader="dot" w:pos="9072"/>
        </w:tabs>
      </w:pPr>
      <w:hyperlink w:anchor="_LarkToc00051" w:history="1">
        <w:r>
          <w:t>附件2-1　六步工作法项目应用推演表（空白模板）</w:t>
        </w:r>
        <w:r>
          <w:tab/>
        </w:r>
        <w:r>
          <w:fldChar w:fldCharType="begin"/>
        </w:r>
        <w:r>
          <w:instrText xml:space="preserve"> PAGEREF _LarkToc00051 \h </w:instrText>
        </w:r>
        <w:r>
          <w:fldChar w:fldCharType="separate"/>
        </w:r>
        <w:r>
          <w:t>13</w:t>
        </w:r>
        <w:r>
          <w:fldChar w:fldCharType="end"/>
        </w:r>
      </w:hyperlink>
    </w:p>
    <w:p>
      <w:pPr>
        <w:pStyle w:val="TOC3"/>
        <w:tabs>
          <w:tab w:val="right" w:leader="dot" w:pos="9072"/>
        </w:tabs>
      </w:pPr>
      <w:hyperlink w:anchor="_LarkToc00052" w:history="1">
        <w:r>
          <w:t>附件2-2　调查信息清单与调研模板（四本账）</w:t>
        </w:r>
        <w:r>
          <w:tab/>
        </w:r>
        <w:r>
          <w:fldChar w:fldCharType="begin"/>
        </w:r>
        <w:r>
          <w:instrText xml:space="preserve"> PAGEREF _LarkToc00052 \h </w:instrText>
        </w:r>
        <w:r>
          <w:fldChar w:fldCharType="separate"/>
        </w:r>
        <w:r>
          <w:t>14</w:t>
        </w:r>
        <w:r>
          <w:fldChar w:fldCharType="end"/>
        </w:r>
      </w:hyperlink>
    </w:p>
    <w:p>
      <w:pPr>
        <w:pStyle w:val="TOC3"/>
        <w:tabs>
          <w:tab w:val="right" w:leader="dot" w:pos="9072"/>
        </w:tabs>
      </w:pPr>
      <w:hyperlink w:anchor="_LarkToc00053" w:history="1">
        <w:r>
          <w:t>附件2-3　决策方案对比与决策矩阵表</w:t>
        </w:r>
        <w:r>
          <w:tab/>
        </w:r>
        <w:r>
          <w:fldChar w:fldCharType="begin"/>
        </w:r>
        <w:r>
          <w:instrText xml:space="preserve"> PAGEREF _LarkToc00053 \h </w:instrText>
        </w:r>
        <w:r>
          <w:fldChar w:fldCharType="separate"/>
        </w:r>
        <w:r>
          <w:t>15</w:t>
        </w:r>
        <w:r>
          <w:fldChar w:fldCharType="end"/>
        </w:r>
      </w:hyperlink>
    </w:p>
    <w:p>
      <w:pPr>
        <w:pStyle w:val="TOC3"/>
        <w:tabs>
          <w:tab w:val="right" w:leader="dot" w:pos="9072"/>
        </w:tabs>
      </w:pPr>
      <w:hyperlink w:anchor="_LarkToc00054" w:history="1">
        <w:r>
          <w:t>附件3-1　全流程×章节×附件总导航表（即查即用地图）</w:t>
        </w:r>
        <w:r>
          <w:tab/>
        </w:r>
        <w:r>
          <w:fldChar w:fldCharType="begin"/>
        </w:r>
        <w:r>
          <w:instrText xml:space="preserve"> PAGEREF _LarkToc00054 \h </w:instrText>
        </w:r>
        <w:r>
          <w:fldChar w:fldCharType="separate"/>
        </w:r>
        <w:r>
          <w:t>20</w:t>
        </w:r>
        <w:r>
          <w:fldChar w:fldCharType="end"/>
        </w:r>
      </w:hyperlink>
    </w:p>
    <w:p>
      <w:pPr>
        <w:pStyle w:val="TOC3"/>
        <w:tabs>
          <w:tab w:val="right" w:leader="dot" w:pos="9072"/>
        </w:tabs>
      </w:pPr>
      <w:hyperlink w:anchor="_LarkToc00055" w:history="1">
        <w:r>
          <w:t>附件3-2　不同岗位快速上手路径与使用频次表</w:t>
        </w:r>
        <w:r>
          <w:tab/>
        </w:r>
        <w:r>
          <w:fldChar w:fldCharType="begin"/>
        </w:r>
        <w:r>
          <w:instrText xml:space="preserve"> PAGEREF _LarkToc00055 \h </w:instrText>
        </w:r>
        <w:r>
          <w:fldChar w:fldCharType="separate"/>
        </w:r>
        <w:r>
          <w:t>21</w:t>
        </w:r>
        <w:r>
          <w:fldChar w:fldCharType="end"/>
        </w:r>
      </w:hyperlink>
    </w:p>
    <w:p>
      <w:pPr>
        <w:pStyle w:val="TOC3"/>
        <w:tabs>
          <w:tab w:val="right" w:leader="dot" w:pos="9072"/>
        </w:tabs>
      </w:pPr>
      <w:hyperlink w:anchor="_LarkToc00056" w:history="1">
        <w:r>
          <w:t>附件4-1　项目信息与业主资信调查表</w:t>
        </w:r>
        <w:r>
          <w:tab/>
        </w:r>
        <w:r>
          <w:fldChar w:fldCharType="begin"/>
        </w:r>
        <w:r>
          <w:instrText xml:space="preserve"> PAGEREF _LarkToc00056 \h </w:instrText>
        </w:r>
        <w:r>
          <w:fldChar w:fldCharType="separate"/>
        </w:r>
        <w:r>
          <w:t>26</w:t>
        </w:r>
        <w:r>
          <w:fldChar w:fldCharType="end"/>
        </w:r>
      </w:hyperlink>
    </w:p>
    <w:p>
      <w:pPr>
        <w:pStyle w:val="TOC3"/>
        <w:tabs>
          <w:tab w:val="right" w:leader="dot" w:pos="9072"/>
        </w:tabs>
      </w:pPr>
      <w:hyperlink w:anchor="_LarkToc00057" w:history="1">
        <w:r>
          <w:t>附件4-2　招标文件研读与废标、风险条款核查表</w:t>
        </w:r>
        <w:r>
          <w:tab/>
        </w:r>
        <w:r>
          <w:fldChar w:fldCharType="begin"/>
        </w:r>
        <w:r>
          <w:instrText xml:space="preserve"> PAGEREF _LarkToc00057 \h </w:instrText>
        </w:r>
        <w:r>
          <w:fldChar w:fldCharType="separate"/>
        </w:r>
        <w:r>
          <w:t>27</w:t>
        </w:r>
        <w:r>
          <w:fldChar w:fldCharType="end"/>
        </w:r>
      </w:hyperlink>
    </w:p>
    <w:p>
      <w:pPr>
        <w:pStyle w:val="TOC3"/>
        <w:tabs>
          <w:tab w:val="right" w:leader="dot" w:pos="9072"/>
        </w:tabs>
      </w:pPr>
      <w:hyperlink w:anchor="_LarkToc00058" w:history="1">
        <w:r>
          <w:t>附件4-3　现场踏勘记录与影像资料清单</w:t>
        </w:r>
        <w:r>
          <w:tab/>
        </w:r>
        <w:r>
          <w:fldChar w:fldCharType="begin"/>
        </w:r>
        <w:r>
          <w:instrText xml:space="preserve"> PAGEREF _LarkToc00058 \h </w:instrText>
        </w:r>
        <w:r>
          <w:fldChar w:fldCharType="separate"/>
        </w:r>
        <w:r>
          <w:t>29</w:t>
        </w:r>
        <w:r>
          <w:fldChar w:fldCharType="end"/>
        </w:r>
      </w:hyperlink>
    </w:p>
    <w:p>
      <w:pPr>
        <w:pStyle w:val="TOC3"/>
        <w:tabs>
          <w:tab w:val="right" w:leader="dot" w:pos="9072"/>
        </w:tabs>
      </w:pPr>
      <w:hyperlink w:anchor="_LarkToc00059" w:history="1">
        <w:r>
          <w:t>附件4-4　工程量清单复核与偏差对比表</w:t>
        </w:r>
        <w:r>
          <w:tab/>
        </w:r>
        <w:r>
          <w:fldChar w:fldCharType="begin"/>
        </w:r>
        <w:r>
          <w:instrText xml:space="preserve"> PAGEREF _LarkToc00059 \h </w:instrText>
        </w:r>
        <w:r>
          <w:fldChar w:fldCharType="separate"/>
        </w:r>
        <w:r>
          <w:t>30</w:t>
        </w:r>
        <w:r>
          <w:fldChar w:fldCharType="end"/>
        </w:r>
      </w:hyperlink>
    </w:p>
    <w:p>
      <w:pPr>
        <w:pStyle w:val="TOC3"/>
        <w:tabs>
          <w:tab w:val="right" w:leader="dot" w:pos="9072"/>
        </w:tabs>
      </w:pPr>
      <w:hyperlink w:anchor="_LarkToc00060" w:history="1">
        <w:r>
          <w:t>附件4-5　投标成本测算与报价决策表</w:t>
        </w:r>
        <w:r>
          <w:tab/>
        </w:r>
        <w:r>
          <w:fldChar w:fldCharType="begin"/>
        </w:r>
        <w:r>
          <w:instrText xml:space="preserve"> PAGEREF _LarkToc00060 \h </w:instrText>
        </w:r>
        <w:r>
          <w:fldChar w:fldCharType="separate"/>
        </w:r>
        <w:r>
          <w:t>31</w:t>
        </w:r>
        <w:r>
          <w:fldChar w:fldCharType="end"/>
        </w:r>
      </w:hyperlink>
    </w:p>
    <w:p>
      <w:pPr>
        <w:pStyle w:val="TOC3"/>
        <w:tabs>
          <w:tab w:val="right" w:leader="dot" w:pos="9072"/>
        </w:tabs>
      </w:pPr>
      <w:hyperlink w:anchor="_LarkToc00061" w:history="1">
        <w:r>
          <w:t>附件4-6　投标决策评审表</w:t>
        </w:r>
        <w:r>
          <w:tab/>
        </w:r>
        <w:r>
          <w:fldChar w:fldCharType="begin"/>
        </w:r>
        <w:r>
          <w:instrText xml:space="preserve"> PAGEREF _LarkToc00061 \h </w:instrText>
        </w:r>
        <w:r>
          <w:fldChar w:fldCharType="separate"/>
        </w:r>
        <w:r>
          <w:t>33</w:t>
        </w:r>
        <w:r>
          <w:fldChar w:fldCharType="end"/>
        </w:r>
      </w:hyperlink>
    </w:p>
    <w:p>
      <w:pPr>
        <w:pStyle w:val="TOC3"/>
        <w:tabs>
          <w:tab w:val="right" w:leader="dot" w:pos="9072"/>
        </w:tabs>
      </w:pPr>
      <w:hyperlink w:anchor="_LarkToc00062" w:history="1">
        <w:r>
          <w:t>附件4-7　投标文件编制与递交核查清单</w:t>
        </w:r>
        <w:r>
          <w:tab/>
        </w:r>
        <w:r>
          <w:fldChar w:fldCharType="begin"/>
        </w:r>
        <w:r>
          <w:instrText xml:space="preserve"> PAGEREF _LarkToc00062 \h </w:instrText>
        </w:r>
        <w:r>
          <w:fldChar w:fldCharType="separate"/>
        </w:r>
        <w:r>
          <w:t>34</w:t>
        </w:r>
        <w:r>
          <w:fldChar w:fldCharType="end"/>
        </w:r>
      </w:hyperlink>
    </w:p>
    <w:p>
      <w:pPr>
        <w:pStyle w:val="TOC3"/>
        <w:tabs>
          <w:tab w:val="right" w:leader="dot" w:pos="9072"/>
        </w:tabs>
      </w:pPr>
      <w:hyperlink w:anchor="_LarkToc00063" w:history="1">
        <w:r>
          <w:t>附件4-8　投标保证金与投标费用跟踪台账</w:t>
        </w:r>
        <w:r>
          <w:tab/>
        </w:r>
        <w:r>
          <w:fldChar w:fldCharType="begin"/>
        </w:r>
        <w:r>
          <w:instrText xml:space="preserve"> PAGEREF _LarkToc00063 \h </w:instrText>
        </w:r>
        <w:r>
          <w:fldChar w:fldCharType="separate"/>
        </w:r>
        <w:r>
          <w:t>35</w:t>
        </w:r>
        <w:r>
          <w:fldChar w:fldCharType="end"/>
        </w:r>
      </w:hyperlink>
    </w:p>
    <w:p>
      <w:pPr>
        <w:pStyle w:val="TOC3"/>
        <w:tabs>
          <w:tab w:val="right" w:leader="dot" w:pos="9072"/>
        </w:tabs>
      </w:pPr>
      <w:hyperlink w:anchor="_LarkToc00064" w:history="1">
        <w:r>
          <w:t>附件4-9　否决投标（废标）情形自查清单</w:t>
        </w:r>
        <w:r>
          <w:tab/>
        </w:r>
        <w:r>
          <w:fldChar w:fldCharType="begin"/>
        </w:r>
        <w:r>
          <w:instrText xml:space="preserve"> PAGEREF _LarkToc00064 \h </w:instrText>
        </w:r>
        <w:r>
          <w:fldChar w:fldCharType="separate"/>
        </w:r>
        <w:r>
          <w:t>36</w:t>
        </w:r>
        <w:r>
          <w:fldChar w:fldCharType="end"/>
        </w:r>
      </w:hyperlink>
    </w:p>
    <w:p>
      <w:pPr>
        <w:pStyle w:val="TOC3"/>
        <w:tabs>
          <w:tab w:val="right" w:leader="dot" w:pos="9072"/>
        </w:tabs>
      </w:pPr>
      <w:hyperlink w:anchor="_LarkToc00065" w:history="1">
        <w:r>
          <w:t>附件4-10　不平衡报价与报价策略风险表</w:t>
        </w:r>
        <w:r>
          <w:tab/>
        </w:r>
        <w:r>
          <w:fldChar w:fldCharType="begin"/>
        </w:r>
        <w:r>
          <w:instrText xml:space="preserve"> PAGEREF _LarkToc00065 \h </w:instrText>
        </w:r>
        <w:r>
          <w:fldChar w:fldCharType="separate"/>
        </w:r>
        <w:r>
          <w:t>37</w:t>
        </w:r>
        <w:r>
          <w:fldChar w:fldCharType="end"/>
        </w:r>
      </w:hyperlink>
    </w:p>
    <w:p>
      <w:pPr>
        <w:pStyle w:val="TOC3"/>
        <w:tabs>
          <w:tab w:val="right" w:leader="dot" w:pos="9072"/>
        </w:tabs>
      </w:pPr>
      <w:hyperlink w:anchor="_LarkToc00066" w:history="1">
        <w:r>
          <w:t>附件4-11　清标、答疑与澄清回复记录表</w:t>
        </w:r>
        <w:r>
          <w:tab/>
        </w:r>
        <w:r>
          <w:fldChar w:fldCharType="begin"/>
        </w:r>
        <w:r>
          <w:instrText xml:space="preserve"> PAGEREF _LarkToc00066 \h </w:instrText>
        </w:r>
        <w:r>
          <w:fldChar w:fldCharType="separate"/>
        </w:r>
        <w:r>
          <w:t>38</w:t>
        </w:r>
        <w:r>
          <w:fldChar w:fldCharType="end"/>
        </w:r>
      </w:hyperlink>
    </w:p>
    <w:p>
      <w:pPr>
        <w:pStyle w:val="TOC3"/>
        <w:tabs>
          <w:tab w:val="right" w:leader="dot" w:pos="9072"/>
        </w:tabs>
      </w:pPr>
      <w:hyperlink w:anchor="_LarkToc00067" w:history="1">
        <w:r>
          <w:t>附件5-1　施工合同评审意见表</w:t>
        </w:r>
        <w:r>
          <w:tab/>
        </w:r>
        <w:r>
          <w:fldChar w:fldCharType="begin"/>
        </w:r>
        <w:r>
          <w:instrText xml:space="preserve"> PAGEREF _LarkToc00067 \h </w:instrText>
        </w:r>
        <w:r>
          <w:fldChar w:fldCharType="separate"/>
        </w:r>
        <w:r>
          <w:t>44</w:t>
        </w:r>
        <w:r>
          <w:fldChar w:fldCharType="end"/>
        </w:r>
      </w:hyperlink>
    </w:p>
    <w:p>
      <w:pPr>
        <w:pStyle w:val="TOC3"/>
        <w:tabs>
          <w:tab w:val="right" w:leader="dot" w:pos="9072"/>
        </w:tabs>
      </w:pPr>
      <w:hyperlink w:anchor="_LarkToc00068" w:history="1">
        <w:r>
          <w:t>附件5-2　合同风险条款谈判修改对照表</w:t>
        </w:r>
        <w:r>
          <w:tab/>
        </w:r>
        <w:r>
          <w:fldChar w:fldCharType="begin"/>
        </w:r>
        <w:r>
          <w:instrText xml:space="preserve"> PAGEREF _LarkToc00068 \h </w:instrText>
        </w:r>
        <w:r>
          <w:fldChar w:fldCharType="separate"/>
        </w:r>
        <w:r>
          <w:t>45</w:t>
        </w:r>
        <w:r>
          <w:fldChar w:fldCharType="end"/>
        </w:r>
      </w:hyperlink>
    </w:p>
    <w:p>
      <w:pPr>
        <w:pStyle w:val="TOC3"/>
        <w:tabs>
          <w:tab w:val="right" w:leader="dot" w:pos="9072"/>
        </w:tabs>
      </w:pPr>
      <w:hyperlink w:anchor="_LarkToc00069" w:history="1">
        <w:r>
          <w:t>附件5-3　合同交底记录表</w:t>
        </w:r>
        <w:r>
          <w:tab/>
        </w:r>
        <w:r>
          <w:fldChar w:fldCharType="begin"/>
        </w:r>
        <w:r>
          <w:instrText xml:space="preserve"> PAGEREF _LarkToc00069 \h </w:instrText>
        </w:r>
        <w:r>
          <w:fldChar w:fldCharType="separate"/>
        </w:r>
        <w:r>
          <w:t>46</w:t>
        </w:r>
        <w:r>
          <w:fldChar w:fldCharType="end"/>
        </w:r>
      </w:hyperlink>
    </w:p>
    <w:p>
      <w:pPr>
        <w:pStyle w:val="TOC3"/>
        <w:tabs>
          <w:tab w:val="right" w:leader="dot" w:pos="9072"/>
        </w:tabs>
      </w:pPr>
      <w:hyperlink w:anchor="_LarkToc00070" w:history="1">
        <w:r>
          <w:t>附件5-4　合同价格形式与适用条件对照表</w:t>
        </w:r>
        <w:r>
          <w:tab/>
        </w:r>
        <w:r>
          <w:fldChar w:fldCharType="begin"/>
        </w:r>
        <w:r>
          <w:instrText xml:space="preserve"> PAGEREF _LarkToc00070 \h </w:instrText>
        </w:r>
        <w:r>
          <w:fldChar w:fldCharType="separate"/>
        </w:r>
        <w:r>
          <w:t>47</w:t>
        </w:r>
        <w:r>
          <w:fldChar w:fldCharType="end"/>
        </w:r>
      </w:hyperlink>
    </w:p>
    <w:p>
      <w:pPr>
        <w:pStyle w:val="TOC3"/>
        <w:tabs>
          <w:tab w:val="right" w:leader="dot" w:pos="9072"/>
        </w:tabs>
      </w:pPr>
      <w:hyperlink w:anchor="_LarkToc00071" w:history="1">
        <w:r>
          <w:t>附件5-5　合同风险条款逐条核查库</w:t>
        </w:r>
        <w:r>
          <w:tab/>
        </w:r>
        <w:r>
          <w:fldChar w:fldCharType="begin"/>
        </w:r>
        <w:r>
          <w:instrText xml:space="preserve"> PAGEREF _LarkToc00071 \h </w:instrText>
        </w:r>
        <w:r>
          <w:fldChar w:fldCharType="separate"/>
        </w:r>
        <w:r>
          <w:t>48</w:t>
        </w:r>
        <w:r>
          <w:fldChar w:fldCharType="end"/>
        </w:r>
      </w:hyperlink>
    </w:p>
    <w:p>
      <w:pPr>
        <w:pStyle w:val="TOC3"/>
        <w:tabs>
          <w:tab w:val="right" w:leader="dot" w:pos="9072"/>
        </w:tabs>
      </w:pPr>
      <w:hyperlink w:anchor="_LarkToc00072" w:history="1">
        <w:r>
          <w:t>附件5-6　工程担保与保险一览表</w:t>
        </w:r>
        <w:r>
          <w:tab/>
        </w:r>
        <w:r>
          <w:fldChar w:fldCharType="begin"/>
        </w:r>
        <w:r>
          <w:instrText xml:space="preserve"> PAGEREF _LarkToc00072 \h </w:instrText>
        </w:r>
        <w:r>
          <w:fldChar w:fldCharType="separate"/>
        </w:r>
        <w:r>
          <w:t>49</w:t>
        </w:r>
        <w:r>
          <w:fldChar w:fldCharType="end"/>
        </w:r>
      </w:hyperlink>
    </w:p>
    <w:p>
      <w:pPr>
        <w:pStyle w:val="TOC3"/>
        <w:tabs>
          <w:tab w:val="right" w:leader="dot" w:pos="9072"/>
        </w:tabs>
      </w:pPr>
      <w:hyperlink w:anchor="_LarkToc00073" w:history="1">
        <w:r>
          <w:t>附件5-7　争议解决路径选择表</w:t>
        </w:r>
        <w:r>
          <w:tab/>
        </w:r>
        <w:r>
          <w:fldChar w:fldCharType="begin"/>
        </w:r>
        <w:r>
          <w:instrText xml:space="preserve"> PAGEREF _LarkToc00073 \h </w:instrText>
        </w:r>
        <w:r>
          <w:fldChar w:fldCharType="separate"/>
        </w:r>
        <w:r>
          <w:t>50</w:t>
        </w:r>
        <w:r>
          <w:fldChar w:fldCharType="end"/>
        </w:r>
      </w:hyperlink>
    </w:p>
    <w:p>
      <w:pPr>
        <w:pStyle w:val="TOC3"/>
        <w:tabs>
          <w:tab w:val="right" w:leader="dot" w:pos="9072"/>
        </w:tabs>
      </w:pPr>
      <w:hyperlink w:anchor="_LarkToc00074" w:history="1">
        <w:r>
          <w:t>附件5-8　黑白合同与挂靠实际施工风险提示表</w:t>
        </w:r>
        <w:r>
          <w:tab/>
        </w:r>
        <w:r>
          <w:fldChar w:fldCharType="begin"/>
        </w:r>
        <w:r>
          <w:instrText xml:space="preserve"> PAGEREF _LarkToc00074 \h </w:instrText>
        </w:r>
        <w:r>
          <w:fldChar w:fldCharType="separate"/>
        </w:r>
        <w:r>
          <w:t>51</w:t>
        </w:r>
        <w:r>
          <w:fldChar w:fldCharType="end"/>
        </w:r>
      </w:hyperlink>
    </w:p>
    <w:p>
      <w:pPr>
        <w:pStyle w:val="TOC3"/>
        <w:tabs>
          <w:tab w:val="right" w:leader="dot" w:pos="9072"/>
        </w:tabs>
      </w:pPr>
      <w:hyperlink w:anchor="_LarkToc00075" w:history="1">
        <w:r>
          <w:t>附件6-1　开工条件核查表</w:t>
        </w:r>
        <w:r>
          <w:tab/>
        </w:r>
        <w:r>
          <w:fldChar w:fldCharType="begin"/>
        </w:r>
        <w:r>
          <w:instrText xml:space="preserve"> PAGEREF _LarkToc00075 \h </w:instrText>
        </w:r>
        <w:r>
          <w:fldChar w:fldCharType="separate"/>
        </w:r>
        <w:r>
          <w:t>55</w:t>
        </w:r>
        <w:r>
          <w:fldChar w:fldCharType="end"/>
        </w:r>
      </w:hyperlink>
    </w:p>
    <w:p>
      <w:pPr>
        <w:pStyle w:val="TOC3"/>
        <w:tabs>
          <w:tab w:val="right" w:leader="dot" w:pos="9072"/>
        </w:tabs>
      </w:pPr>
      <w:hyperlink w:anchor="_LarkToc00076" w:history="1">
        <w:r>
          <w:t>附件6-2　项目管理目标责任书（指标分解表）</w:t>
        </w:r>
        <w:r>
          <w:tab/>
        </w:r>
        <w:r>
          <w:fldChar w:fldCharType="begin"/>
        </w:r>
        <w:r>
          <w:instrText xml:space="preserve"> PAGEREF _LarkToc00076 \h </w:instrText>
        </w:r>
        <w:r>
          <w:fldChar w:fldCharType="separate"/>
        </w:r>
        <w:r>
          <w:t>56</w:t>
        </w:r>
        <w:r>
          <w:fldChar w:fldCharType="end"/>
        </w:r>
      </w:hyperlink>
    </w:p>
    <w:p>
      <w:pPr>
        <w:pStyle w:val="TOC3"/>
        <w:tabs>
          <w:tab w:val="right" w:leader="dot" w:pos="9072"/>
        </w:tabs>
      </w:pPr>
      <w:hyperlink w:anchor="_LarkToc00077" w:history="1">
        <w:r>
          <w:t>附件6-3　施工组织设计（专项方案）编制审批表</w:t>
        </w:r>
        <w:r>
          <w:tab/>
        </w:r>
        <w:r>
          <w:fldChar w:fldCharType="begin"/>
        </w:r>
        <w:r>
          <w:instrText xml:space="preserve"> PAGEREF _LarkToc00077 \h </w:instrText>
        </w:r>
        <w:r>
          <w:fldChar w:fldCharType="separate"/>
        </w:r>
        <w:r>
          <w:t>57</w:t>
        </w:r>
        <w:r>
          <w:fldChar w:fldCharType="end"/>
        </w:r>
      </w:hyperlink>
    </w:p>
    <w:p>
      <w:pPr>
        <w:pStyle w:val="TOC3"/>
        <w:tabs>
          <w:tab w:val="right" w:leader="dot" w:pos="9072"/>
        </w:tabs>
      </w:pPr>
      <w:hyperlink w:anchor="_LarkToc00078" w:history="1">
        <w:r>
          <w:t>附件6-4　危大工程清单及专项方案编制计划</w:t>
        </w:r>
        <w:r>
          <w:tab/>
        </w:r>
        <w:r>
          <w:fldChar w:fldCharType="begin"/>
        </w:r>
        <w:r>
          <w:instrText xml:space="preserve"> PAGEREF _LarkToc00078 \h </w:instrText>
        </w:r>
        <w:r>
          <w:fldChar w:fldCharType="separate"/>
        </w:r>
        <w:r>
          <w:t>58</w:t>
        </w:r>
        <w:r>
          <w:fldChar w:fldCharType="end"/>
        </w:r>
      </w:hyperlink>
    </w:p>
    <w:p>
      <w:pPr>
        <w:pStyle w:val="TOC3"/>
        <w:tabs>
          <w:tab w:val="right" w:leader="dot" w:pos="9072"/>
        </w:tabs>
      </w:pPr>
      <w:hyperlink w:anchor="_LarkToc00079" w:history="1">
        <w:r>
          <w:t>附件6-5　项目组织机构与岗位职责表</w:t>
        </w:r>
        <w:r>
          <w:tab/>
        </w:r>
        <w:r>
          <w:fldChar w:fldCharType="begin"/>
        </w:r>
        <w:r>
          <w:instrText xml:space="preserve"> PAGEREF _LarkToc00079 \h </w:instrText>
        </w:r>
        <w:r>
          <w:fldChar w:fldCharType="separate"/>
        </w:r>
        <w:r>
          <w:t>59</w:t>
        </w:r>
        <w:r>
          <w:fldChar w:fldCharType="end"/>
        </w:r>
      </w:hyperlink>
    </w:p>
    <w:p>
      <w:pPr>
        <w:pStyle w:val="TOC3"/>
        <w:tabs>
          <w:tab w:val="right" w:leader="dot" w:pos="9072"/>
        </w:tabs>
      </w:pPr>
      <w:hyperlink w:anchor="_LarkToc00080" w:history="1">
        <w:r>
          <w:t>附件6-6　总进度计划与里程碑节点表</w:t>
        </w:r>
        <w:r>
          <w:tab/>
        </w:r>
        <w:r>
          <w:fldChar w:fldCharType="begin"/>
        </w:r>
        <w:r>
          <w:instrText xml:space="preserve"> PAGEREF _LarkToc00080 \h </w:instrText>
        </w:r>
        <w:r>
          <w:fldChar w:fldCharType="separate"/>
        </w:r>
        <w:r>
          <w:t>60</w:t>
        </w:r>
        <w:r>
          <w:fldChar w:fldCharType="end"/>
        </w:r>
      </w:hyperlink>
    </w:p>
    <w:p>
      <w:pPr>
        <w:pStyle w:val="TOC3"/>
        <w:tabs>
          <w:tab w:val="right" w:leader="dot" w:pos="9072"/>
        </w:tabs>
      </w:pPr>
      <w:hyperlink w:anchor="_LarkToc00081" w:history="1">
        <w:r>
          <w:t>附件6-7　材料及周转材料需用与采购计划表</w:t>
        </w:r>
        <w:r>
          <w:tab/>
        </w:r>
        <w:r>
          <w:fldChar w:fldCharType="begin"/>
        </w:r>
        <w:r>
          <w:instrText xml:space="preserve"> PAGEREF _LarkToc00081 \h </w:instrText>
        </w:r>
        <w:r>
          <w:fldChar w:fldCharType="separate"/>
        </w:r>
        <w:r>
          <w:t>61</w:t>
        </w:r>
        <w:r>
          <w:fldChar w:fldCharType="end"/>
        </w:r>
      </w:hyperlink>
    </w:p>
    <w:p>
      <w:pPr>
        <w:pStyle w:val="TOC3"/>
        <w:tabs>
          <w:tab w:val="right" w:leader="dot" w:pos="9072"/>
        </w:tabs>
      </w:pPr>
      <w:hyperlink w:anchor="_LarkToc00082" w:history="1">
        <w:r>
          <w:t>附件6-8　机械设备进退场计划及特种设备登记表</w:t>
        </w:r>
        <w:r>
          <w:tab/>
        </w:r>
        <w:r>
          <w:fldChar w:fldCharType="begin"/>
        </w:r>
        <w:r>
          <w:instrText xml:space="preserve"> PAGEREF _LarkToc00082 \h </w:instrText>
        </w:r>
        <w:r>
          <w:fldChar w:fldCharType="separate"/>
        </w:r>
        <w:r>
          <w:t>62</w:t>
        </w:r>
        <w:r>
          <w:fldChar w:fldCharType="end"/>
        </w:r>
      </w:hyperlink>
    </w:p>
    <w:p>
      <w:pPr>
        <w:pStyle w:val="TOC3"/>
        <w:tabs>
          <w:tab w:val="right" w:leader="dot" w:pos="9072"/>
        </w:tabs>
      </w:pPr>
      <w:hyperlink w:anchor="_LarkToc00083" w:history="1">
        <w:r>
          <w:t>附件6-9　开工报建手续及资料清单</w:t>
        </w:r>
        <w:r>
          <w:tab/>
        </w:r>
        <w:r>
          <w:fldChar w:fldCharType="begin"/>
        </w:r>
        <w:r>
          <w:instrText xml:space="preserve"> PAGEREF _LarkToc00083 \h </w:instrText>
        </w:r>
        <w:r>
          <w:fldChar w:fldCharType="separate"/>
        </w:r>
        <w:r>
          <w:t>63</w:t>
        </w:r>
        <w:r>
          <w:fldChar w:fldCharType="end"/>
        </w:r>
      </w:hyperlink>
    </w:p>
    <w:p>
      <w:pPr>
        <w:pStyle w:val="TOC3"/>
        <w:tabs>
          <w:tab w:val="right" w:leader="dot" w:pos="9072"/>
        </w:tabs>
      </w:pPr>
      <w:hyperlink w:anchor="_LarkToc00084" w:history="1">
        <w:r>
          <w:t>附件7-1　进度计划执行与偏差分析表（月/周）</w:t>
        </w:r>
        <w:r>
          <w:tab/>
        </w:r>
        <w:r>
          <w:fldChar w:fldCharType="begin"/>
        </w:r>
        <w:r>
          <w:instrText xml:space="preserve"> PAGEREF _LarkToc00084 \h </w:instrText>
        </w:r>
        <w:r>
          <w:fldChar w:fldCharType="separate"/>
        </w:r>
        <w:r>
          <w:t>68</w:t>
        </w:r>
        <w:r>
          <w:fldChar w:fldCharType="end"/>
        </w:r>
      </w:hyperlink>
    </w:p>
    <w:p>
      <w:pPr>
        <w:pStyle w:val="TOC3"/>
        <w:tabs>
          <w:tab w:val="right" w:leader="dot" w:pos="9072"/>
        </w:tabs>
      </w:pPr>
      <w:hyperlink w:anchor="_LarkToc00085" w:history="1">
        <w:r>
          <w:t>附件7-2　安全生产基本管理台账（责任、目标、会议、检查总览）</w:t>
        </w:r>
        <w:r>
          <w:tab/>
        </w:r>
        <w:r>
          <w:fldChar w:fldCharType="begin"/>
        </w:r>
        <w:r>
          <w:instrText xml:space="preserve"> PAGEREF _LarkToc00085 \h </w:instrText>
        </w:r>
        <w:r>
          <w:fldChar w:fldCharType="separate"/>
        </w:r>
        <w:r>
          <w:t>69</w:t>
        </w:r>
        <w:r>
          <w:fldChar w:fldCharType="end"/>
        </w:r>
      </w:hyperlink>
    </w:p>
    <w:p>
      <w:pPr>
        <w:pStyle w:val="TOC3"/>
        <w:tabs>
          <w:tab w:val="right" w:leader="dot" w:pos="9072"/>
        </w:tabs>
      </w:pPr>
      <w:hyperlink w:anchor="_LarkToc00086" w:history="1">
        <w:r>
          <w:t>附件7-3　安全风险评价工具包（LS／LEC／MES／JHA 四种方法）</w:t>
        </w:r>
        <w:r>
          <w:tab/>
        </w:r>
        <w:r>
          <w:fldChar w:fldCharType="begin"/>
        </w:r>
        <w:r>
          <w:instrText xml:space="preserve"> PAGEREF _LarkToc00086 \h </w:instrText>
        </w:r>
        <w:r>
          <w:fldChar w:fldCharType="separate"/>
        </w:r>
        <w:r>
          <w:t>70</w:t>
        </w:r>
        <w:r>
          <w:fldChar w:fldCharType="end"/>
        </w:r>
      </w:hyperlink>
    </w:p>
    <w:p>
      <w:pPr>
        <w:pStyle w:val="TOC3"/>
        <w:tabs>
          <w:tab w:val="right" w:leader="dot" w:pos="9072"/>
        </w:tabs>
      </w:pPr>
      <w:hyperlink w:anchor="_LarkToc00087" w:history="1">
        <w:r>
          <w:t>附件7-4　危险源辨识与风险分级管控清单</w:t>
        </w:r>
        <w:r>
          <w:tab/>
        </w:r>
        <w:r>
          <w:fldChar w:fldCharType="begin"/>
        </w:r>
        <w:r>
          <w:instrText xml:space="preserve"> PAGEREF _LarkToc00087 \h </w:instrText>
        </w:r>
        <w:r>
          <w:fldChar w:fldCharType="separate"/>
        </w:r>
        <w:r>
          <w:t>74</w:t>
        </w:r>
        <w:r>
          <w:fldChar w:fldCharType="end"/>
        </w:r>
      </w:hyperlink>
    </w:p>
    <w:p>
      <w:pPr>
        <w:pStyle w:val="TOC3"/>
        <w:tabs>
          <w:tab w:val="right" w:leader="dot" w:pos="9072"/>
        </w:tabs>
      </w:pPr>
      <w:hyperlink w:anchor="_LarkToc00088" w:history="1">
        <w:r>
          <w:t>附件7-5　危大工程专项方案编审与专家论证流程表</w:t>
        </w:r>
        <w:r>
          <w:tab/>
        </w:r>
        <w:r>
          <w:fldChar w:fldCharType="begin"/>
        </w:r>
        <w:r>
          <w:instrText xml:space="preserve"> PAGEREF _LarkToc00088 \h </w:instrText>
        </w:r>
        <w:r>
          <w:fldChar w:fldCharType="separate"/>
        </w:r>
        <w:r>
          <w:t>75</w:t>
        </w:r>
        <w:r>
          <w:fldChar w:fldCharType="end"/>
        </w:r>
      </w:hyperlink>
    </w:p>
    <w:p>
      <w:pPr>
        <w:pStyle w:val="TOC3"/>
        <w:tabs>
          <w:tab w:val="right" w:leader="dot" w:pos="9072"/>
        </w:tabs>
      </w:pPr>
      <w:hyperlink w:anchor="_LarkToc00089" w:history="1">
        <w:r>
          <w:t>附件7-6　安全隐患排查治理台账（五定闭环）</w:t>
        </w:r>
        <w:r>
          <w:tab/>
        </w:r>
        <w:r>
          <w:fldChar w:fldCharType="begin"/>
        </w:r>
        <w:r>
          <w:instrText xml:space="preserve"> PAGEREF _LarkToc00089 \h </w:instrText>
        </w:r>
        <w:r>
          <w:fldChar w:fldCharType="separate"/>
        </w:r>
        <w:r>
          <w:t>76</w:t>
        </w:r>
        <w:r>
          <w:fldChar w:fldCharType="end"/>
        </w:r>
      </w:hyperlink>
    </w:p>
    <w:p>
      <w:pPr>
        <w:pStyle w:val="TOC3"/>
        <w:tabs>
          <w:tab w:val="right" w:leader="dot" w:pos="9072"/>
        </w:tabs>
      </w:pPr>
      <w:hyperlink w:anchor="_LarkToc00090" w:history="1">
        <w:r>
          <w:t>附件7-7　施工现场安全检查表（对照各专项）</w:t>
        </w:r>
        <w:r>
          <w:tab/>
        </w:r>
        <w:r>
          <w:fldChar w:fldCharType="begin"/>
        </w:r>
        <w:r>
          <w:instrText xml:space="preserve"> PAGEREF _LarkToc00090 \h </w:instrText>
        </w:r>
        <w:r>
          <w:fldChar w:fldCharType="separate"/>
        </w:r>
        <w:r>
          <w:t>77</w:t>
        </w:r>
        <w:r>
          <w:fldChar w:fldCharType="end"/>
        </w:r>
      </w:hyperlink>
    </w:p>
    <w:p>
      <w:pPr>
        <w:pStyle w:val="TOC3"/>
        <w:tabs>
          <w:tab w:val="right" w:leader="dot" w:pos="9072"/>
        </w:tabs>
      </w:pPr>
      <w:hyperlink w:anchor="_LarkToc00091" w:history="1">
        <w:r>
          <w:t>附件7-8　安全教育培训与安全技术交底记录表</w:t>
        </w:r>
        <w:r>
          <w:tab/>
        </w:r>
        <w:r>
          <w:fldChar w:fldCharType="begin"/>
        </w:r>
        <w:r>
          <w:instrText xml:space="preserve"> PAGEREF _LarkToc00091 \h </w:instrText>
        </w:r>
        <w:r>
          <w:fldChar w:fldCharType="separate"/>
        </w:r>
        <w:r>
          <w:t>78</w:t>
        </w:r>
        <w:r>
          <w:fldChar w:fldCharType="end"/>
        </w:r>
      </w:hyperlink>
    </w:p>
    <w:p>
      <w:pPr>
        <w:pStyle w:val="TOC3"/>
        <w:tabs>
          <w:tab w:val="right" w:leader="dot" w:pos="9072"/>
        </w:tabs>
      </w:pPr>
      <w:hyperlink w:anchor="_LarkToc00092" w:history="1">
        <w:r>
          <w:t>附件7-9　特种设备（起重机械）安拆、检测与使用登记台账</w:t>
        </w:r>
        <w:r>
          <w:tab/>
        </w:r>
        <w:r>
          <w:fldChar w:fldCharType="begin"/>
        </w:r>
        <w:r>
          <w:instrText xml:space="preserve"> PAGEREF _LarkToc00092 \h </w:instrText>
        </w:r>
        <w:r>
          <w:fldChar w:fldCharType="separate"/>
        </w:r>
        <w:r>
          <w:t>79</w:t>
        </w:r>
        <w:r>
          <w:fldChar w:fldCharType="end"/>
        </w:r>
      </w:hyperlink>
    </w:p>
    <w:p>
      <w:pPr>
        <w:pStyle w:val="TOC3"/>
        <w:tabs>
          <w:tab w:val="right" w:leader="dot" w:pos="9072"/>
        </w:tabs>
      </w:pPr>
      <w:hyperlink w:anchor="_LarkToc00093" w:history="1">
        <w:r>
          <w:t>附件7-10　应急救援预案、物资与演练记录表</w:t>
        </w:r>
        <w:r>
          <w:tab/>
        </w:r>
        <w:r>
          <w:fldChar w:fldCharType="begin"/>
        </w:r>
        <w:r>
          <w:instrText xml:space="preserve"> PAGEREF _LarkToc00093 \h </w:instrText>
        </w:r>
        <w:r>
          <w:fldChar w:fldCharType="separate"/>
        </w:r>
        <w:r>
          <w:t>80</w:t>
        </w:r>
        <w:r>
          <w:fldChar w:fldCharType="end"/>
        </w:r>
      </w:hyperlink>
    </w:p>
    <w:p>
      <w:pPr>
        <w:pStyle w:val="TOC3"/>
        <w:tabs>
          <w:tab w:val="right" w:leader="dot" w:pos="9072"/>
        </w:tabs>
      </w:pPr>
      <w:hyperlink w:anchor="_LarkToc00094" w:history="1">
        <w:r>
          <w:t>附件7-11　安全生产费用提取与使用台账</w:t>
        </w:r>
        <w:r>
          <w:tab/>
        </w:r>
        <w:r>
          <w:fldChar w:fldCharType="begin"/>
        </w:r>
        <w:r>
          <w:instrText xml:space="preserve"> PAGEREF _LarkToc00094 \h </w:instrText>
        </w:r>
        <w:r>
          <w:fldChar w:fldCharType="separate"/>
        </w:r>
        <w:r>
          <w:t>81</w:t>
        </w:r>
        <w:r>
          <w:fldChar w:fldCharType="end"/>
        </w:r>
      </w:hyperlink>
    </w:p>
    <w:p>
      <w:pPr>
        <w:pStyle w:val="TOC3"/>
        <w:tabs>
          <w:tab w:val="right" w:leader="dot" w:pos="9072"/>
        </w:tabs>
      </w:pPr>
      <w:hyperlink w:anchor="_LarkToc00095" w:history="1">
        <w:r>
          <w:t>附件7-12　质量策划与质量责任分解表</w:t>
        </w:r>
        <w:r>
          <w:tab/>
        </w:r>
        <w:r>
          <w:fldChar w:fldCharType="begin"/>
        </w:r>
        <w:r>
          <w:instrText xml:space="preserve"> PAGEREF _LarkToc00095 \h </w:instrText>
        </w:r>
        <w:r>
          <w:fldChar w:fldCharType="separate"/>
        </w:r>
        <w:r>
          <w:t>83</w:t>
        </w:r>
        <w:r>
          <w:fldChar w:fldCharType="end"/>
        </w:r>
      </w:hyperlink>
    </w:p>
    <w:p>
      <w:pPr>
        <w:pStyle w:val="TOC3"/>
        <w:tabs>
          <w:tab w:val="right" w:leader="dot" w:pos="9072"/>
        </w:tabs>
      </w:pPr>
      <w:hyperlink w:anchor="_LarkToc00096" w:history="1">
        <w:r>
          <w:t>附件7-13　检验批、分项、分部、单位工程验收记录汇总表</w:t>
        </w:r>
        <w:r>
          <w:tab/>
        </w:r>
        <w:r>
          <w:fldChar w:fldCharType="begin"/>
        </w:r>
        <w:r>
          <w:instrText xml:space="preserve"> PAGEREF _LarkToc00096 \h </w:instrText>
        </w:r>
        <w:r>
          <w:fldChar w:fldCharType="separate"/>
        </w:r>
        <w:r>
          <w:t>84</w:t>
        </w:r>
        <w:r>
          <w:fldChar w:fldCharType="end"/>
        </w:r>
      </w:hyperlink>
    </w:p>
    <w:p>
      <w:pPr>
        <w:pStyle w:val="TOC3"/>
        <w:tabs>
          <w:tab w:val="right" w:leader="dot" w:pos="9072"/>
        </w:tabs>
      </w:pPr>
      <w:hyperlink w:anchor="_LarkToc00097" w:history="1">
        <w:r>
          <w:t>附件7-14　样板引路与首件验收记录表</w:t>
        </w:r>
        <w:r>
          <w:tab/>
        </w:r>
        <w:r>
          <w:fldChar w:fldCharType="begin"/>
        </w:r>
        <w:r>
          <w:instrText xml:space="preserve"> PAGEREF _LarkToc00097 \h </w:instrText>
        </w:r>
        <w:r>
          <w:fldChar w:fldCharType="separate"/>
        </w:r>
        <w:r>
          <w:t>85</w:t>
        </w:r>
        <w:r>
          <w:fldChar w:fldCharType="end"/>
        </w:r>
      </w:hyperlink>
    </w:p>
    <w:p>
      <w:pPr>
        <w:pStyle w:val="TOC3"/>
        <w:tabs>
          <w:tab w:val="right" w:leader="dot" w:pos="9072"/>
        </w:tabs>
      </w:pPr>
      <w:hyperlink w:anchor="_LarkToc00098" w:history="1">
        <w:r>
          <w:t>附件7-15　质量通病预防与整改台账</w:t>
        </w:r>
        <w:r>
          <w:tab/>
        </w:r>
        <w:r>
          <w:fldChar w:fldCharType="begin"/>
        </w:r>
        <w:r>
          <w:instrText xml:space="preserve"> PAGEREF _LarkToc00098 \h </w:instrText>
        </w:r>
        <w:r>
          <w:fldChar w:fldCharType="separate"/>
        </w:r>
        <w:r>
          <w:t>86</w:t>
        </w:r>
        <w:r>
          <w:fldChar w:fldCharType="end"/>
        </w:r>
      </w:hyperlink>
    </w:p>
    <w:p>
      <w:pPr>
        <w:pStyle w:val="TOC3"/>
        <w:tabs>
          <w:tab w:val="right" w:leader="dot" w:pos="9072"/>
        </w:tabs>
      </w:pPr>
      <w:hyperlink w:anchor="_LarkToc00099" w:history="1">
        <w:r>
          <w:t>附件7-16　绿色文明施工（扬尘、噪声、渣土）检查表</w:t>
        </w:r>
        <w:r>
          <w:tab/>
        </w:r>
        <w:r>
          <w:fldChar w:fldCharType="begin"/>
        </w:r>
        <w:r>
          <w:instrText xml:space="preserve"> PAGEREF _LarkToc00099 \h </w:instrText>
        </w:r>
        <w:r>
          <w:fldChar w:fldCharType="separate"/>
        </w:r>
        <w:r>
          <w:t>87</w:t>
        </w:r>
        <w:r>
          <w:fldChar w:fldCharType="end"/>
        </w:r>
      </w:hyperlink>
    </w:p>
    <w:p>
      <w:pPr>
        <w:pStyle w:val="TOC3"/>
        <w:tabs>
          <w:tab w:val="right" w:leader="dot" w:pos="9072"/>
        </w:tabs>
      </w:pPr>
      <w:hyperlink w:anchor="_LarkToc00100" w:history="1">
        <w:r>
          <w:t>附件8-1　项目目标成本与责任成本分解表</w:t>
        </w:r>
        <w:r>
          <w:tab/>
        </w:r>
        <w:r>
          <w:fldChar w:fldCharType="begin"/>
        </w:r>
        <w:r>
          <w:instrText xml:space="preserve"> PAGEREF _LarkToc00100 \h </w:instrText>
        </w:r>
        <w:r>
          <w:fldChar w:fldCharType="separate"/>
        </w:r>
        <w:r>
          <w:t>92</w:t>
        </w:r>
        <w:r>
          <w:fldChar w:fldCharType="end"/>
        </w:r>
      </w:hyperlink>
    </w:p>
    <w:p>
      <w:pPr>
        <w:pStyle w:val="TOC3"/>
        <w:tabs>
          <w:tab w:val="right" w:leader="dot" w:pos="9072"/>
        </w:tabs>
      </w:pPr>
      <w:hyperlink w:anchor="_LarkToc00101" w:history="1">
        <w:r>
          <w:t>附件8-2　月度成本分析表（量价对比与盈亏分析）</w:t>
        </w:r>
        <w:r>
          <w:tab/>
        </w:r>
        <w:r>
          <w:fldChar w:fldCharType="begin"/>
        </w:r>
        <w:r>
          <w:instrText xml:space="preserve"> PAGEREF _LarkToc00101 \h </w:instrText>
        </w:r>
        <w:r>
          <w:fldChar w:fldCharType="separate"/>
        </w:r>
        <w:r>
          <w:t>93</w:t>
        </w:r>
        <w:r>
          <w:fldChar w:fldCharType="end"/>
        </w:r>
      </w:hyperlink>
    </w:p>
    <w:p>
      <w:pPr>
        <w:pStyle w:val="TOC3"/>
        <w:tabs>
          <w:tab w:val="right" w:leader="dot" w:pos="9072"/>
        </w:tabs>
      </w:pPr>
      <w:hyperlink w:anchor="_LarkToc00102" w:history="1">
        <w:r>
          <w:t>附件8-3　材料限额领料与盘点控制表</w:t>
        </w:r>
        <w:r>
          <w:tab/>
        </w:r>
        <w:r>
          <w:fldChar w:fldCharType="begin"/>
        </w:r>
        <w:r>
          <w:instrText xml:space="preserve"> PAGEREF _LarkToc00102 \h </w:instrText>
        </w:r>
        <w:r>
          <w:fldChar w:fldCharType="separate"/>
        </w:r>
        <w:r>
          <w:t>94</w:t>
        </w:r>
        <w:r>
          <w:fldChar w:fldCharType="end"/>
        </w:r>
      </w:hyperlink>
    </w:p>
    <w:p>
      <w:pPr>
        <w:pStyle w:val="TOC3"/>
        <w:tabs>
          <w:tab w:val="right" w:leader="dot" w:pos="9072"/>
        </w:tabs>
      </w:pPr>
      <w:hyperlink w:anchor="_LarkToc00103" w:history="1">
        <w:r>
          <w:t>附件8-4　分包结算与用工管理表</w:t>
        </w:r>
        <w:r>
          <w:tab/>
        </w:r>
        <w:r>
          <w:fldChar w:fldCharType="begin"/>
        </w:r>
        <w:r>
          <w:instrText xml:space="preserve"> PAGEREF _LarkToc00103 \h </w:instrText>
        </w:r>
        <w:r>
          <w:fldChar w:fldCharType="separate"/>
        </w:r>
        <w:r>
          <w:t>95</w:t>
        </w:r>
        <w:r>
          <w:fldChar w:fldCharType="end"/>
        </w:r>
      </w:hyperlink>
    </w:p>
    <w:p>
      <w:pPr>
        <w:pStyle w:val="TOC3"/>
        <w:tabs>
          <w:tab w:val="right" w:leader="dot" w:pos="9072"/>
        </w:tabs>
      </w:pPr>
      <w:hyperlink w:anchor="_LarkToc00104" w:history="1">
        <w:r>
          <w:t>附件8-5　机械费与周转材料费用控制表</w:t>
        </w:r>
        <w:r>
          <w:tab/>
        </w:r>
        <w:r>
          <w:fldChar w:fldCharType="begin"/>
        </w:r>
        <w:r>
          <w:instrText xml:space="preserve"> PAGEREF _LarkToc00104 \h </w:instrText>
        </w:r>
        <w:r>
          <w:fldChar w:fldCharType="separate"/>
        </w:r>
        <w:r>
          <w:t>96</w:t>
        </w:r>
        <w:r>
          <w:fldChar w:fldCharType="end"/>
        </w:r>
      </w:hyperlink>
    </w:p>
    <w:p>
      <w:pPr>
        <w:pStyle w:val="TOC3"/>
        <w:tabs>
          <w:tab w:val="right" w:leader="dot" w:pos="9072"/>
        </w:tabs>
      </w:pPr>
      <w:hyperlink w:anchor="_LarkToc00105" w:history="1">
        <w:r>
          <w:t>附件8-6　工程变更管理流程与变更估价表</w:t>
        </w:r>
        <w:r>
          <w:tab/>
        </w:r>
        <w:r>
          <w:fldChar w:fldCharType="begin"/>
        </w:r>
        <w:r>
          <w:instrText xml:space="preserve"> PAGEREF _LarkToc00105 \h </w:instrText>
        </w:r>
        <w:r>
          <w:fldChar w:fldCharType="separate"/>
        </w:r>
        <w:r>
          <w:t>97</w:t>
        </w:r>
        <w:r>
          <w:fldChar w:fldCharType="end"/>
        </w:r>
      </w:hyperlink>
    </w:p>
    <w:p>
      <w:pPr>
        <w:pStyle w:val="TOC3"/>
        <w:tabs>
          <w:tab w:val="right" w:leader="dot" w:pos="9072"/>
        </w:tabs>
      </w:pPr>
      <w:hyperlink w:anchor="_LarkToc00106" w:history="1">
        <w:r>
          <w:t>附件8-7　现场签证单（标准模板）</w:t>
        </w:r>
        <w:r>
          <w:tab/>
        </w:r>
        <w:r>
          <w:fldChar w:fldCharType="begin"/>
        </w:r>
        <w:r>
          <w:instrText xml:space="preserve"> PAGEREF _LarkToc00106 \h </w:instrText>
        </w:r>
        <w:r>
          <w:fldChar w:fldCharType="separate"/>
        </w:r>
        <w:r>
          <w:t>98</w:t>
        </w:r>
        <w:r>
          <w:fldChar w:fldCharType="end"/>
        </w:r>
      </w:hyperlink>
    </w:p>
    <w:p>
      <w:pPr>
        <w:pStyle w:val="TOC3"/>
        <w:tabs>
          <w:tab w:val="right" w:leader="dot" w:pos="9072"/>
        </w:tabs>
      </w:pPr>
      <w:hyperlink w:anchor="_LarkToc00107" w:history="1">
        <w:r>
          <w:t>附件8-8　工程联系单（工作联系单）收发台账</w:t>
        </w:r>
        <w:r>
          <w:tab/>
        </w:r>
        <w:r>
          <w:fldChar w:fldCharType="begin"/>
        </w:r>
        <w:r>
          <w:instrText xml:space="preserve"> PAGEREF _LarkToc00107 \h </w:instrText>
        </w:r>
        <w:r>
          <w:fldChar w:fldCharType="separate"/>
        </w:r>
        <w:r>
          <w:t>99</w:t>
        </w:r>
        <w:r>
          <w:fldChar w:fldCharType="end"/>
        </w:r>
      </w:hyperlink>
    </w:p>
    <w:p>
      <w:pPr>
        <w:pStyle w:val="TOC3"/>
        <w:tabs>
          <w:tab w:val="right" w:leader="dot" w:pos="9072"/>
        </w:tabs>
      </w:pPr>
      <w:hyperlink w:anchor="_LarkToc00108" w:history="1">
        <w:r>
          <w:t>附件8-9　索赔意向通知书与索赔报告模板</w:t>
        </w:r>
        <w:r>
          <w:tab/>
        </w:r>
        <w:r>
          <w:fldChar w:fldCharType="begin"/>
        </w:r>
        <w:r>
          <w:instrText xml:space="preserve"> PAGEREF _LarkToc00108 \h </w:instrText>
        </w:r>
        <w:r>
          <w:fldChar w:fldCharType="separate"/>
        </w:r>
        <w:r>
          <w:t>100</w:t>
        </w:r>
        <w:r>
          <w:fldChar w:fldCharType="end"/>
        </w:r>
      </w:hyperlink>
    </w:p>
    <w:p>
      <w:pPr>
        <w:pStyle w:val="TOC3"/>
        <w:tabs>
          <w:tab w:val="right" w:leader="dot" w:pos="9072"/>
        </w:tabs>
      </w:pPr>
      <w:hyperlink w:anchor="_LarkToc00109" w:history="1">
        <w:r>
          <w:t>附件8-10　变更、签证、索赔事项台账（时效跟踪）</w:t>
        </w:r>
        <w:r>
          <w:tab/>
        </w:r>
        <w:r>
          <w:fldChar w:fldCharType="begin"/>
        </w:r>
        <w:r>
          <w:instrText xml:space="preserve"> PAGEREF _LarkToc00109 \h </w:instrText>
        </w:r>
        <w:r>
          <w:fldChar w:fldCharType="separate"/>
        </w:r>
        <w:r>
          <w:t>101</w:t>
        </w:r>
        <w:r>
          <w:fldChar w:fldCharType="end"/>
        </w:r>
      </w:hyperlink>
    </w:p>
    <w:p>
      <w:pPr>
        <w:pStyle w:val="TOC3"/>
        <w:tabs>
          <w:tab w:val="right" w:leader="dot" w:pos="9072"/>
        </w:tabs>
      </w:pPr>
      <w:hyperlink w:anchor="_LarkToc00110" w:history="1">
        <w:r>
          <w:t>附件8-11　资金收支计划与现金流测算表</w:t>
        </w:r>
        <w:r>
          <w:tab/>
        </w:r>
        <w:r>
          <w:fldChar w:fldCharType="begin"/>
        </w:r>
        <w:r>
          <w:instrText xml:space="preserve"> PAGEREF _LarkToc00110 \h </w:instrText>
        </w:r>
        <w:r>
          <w:fldChar w:fldCharType="separate"/>
        </w:r>
        <w:r>
          <w:t>102</w:t>
        </w:r>
        <w:r>
          <w:fldChar w:fldCharType="end"/>
        </w:r>
      </w:hyperlink>
    </w:p>
    <w:p>
      <w:pPr>
        <w:pStyle w:val="TOC3"/>
        <w:tabs>
          <w:tab w:val="right" w:leader="dot" w:pos="9072"/>
        </w:tabs>
      </w:pPr>
      <w:hyperlink w:anchor="_LarkToc00111" w:history="1">
        <w:r>
          <w:t>附件8-12　农民工工资专户、实名制、代发与保证金台账</w:t>
        </w:r>
        <w:r>
          <w:tab/>
        </w:r>
        <w:r>
          <w:fldChar w:fldCharType="begin"/>
        </w:r>
        <w:r>
          <w:instrText xml:space="preserve"> PAGEREF _LarkToc00111 \h </w:instrText>
        </w:r>
        <w:r>
          <w:fldChar w:fldCharType="separate"/>
        </w:r>
        <w:r>
          <w:t>103</w:t>
        </w:r>
        <w:r>
          <w:fldChar w:fldCharType="end"/>
        </w:r>
      </w:hyperlink>
    </w:p>
    <w:p>
      <w:pPr>
        <w:pStyle w:val="TOC3"/>
        <w:tabs>
          <w:tab w:val="right" w:leader="dot" w:pos="9072"/>
        </w:tabs>
      </w:pPr>
      <w:hyperlink w:anchor="_LarkToc00112" w:history="1">
        <w:r>
          <w:t>附件8-13　发票与税务管理台账</w:t>
        </w:r>
        <w:r>
          <w:tab/>
        </w:r>
        <w:r>
          <w:fldChar w:fldCharType="begin"/>
        </w:r>
        <w:r>
          <w:instrText xml:space="preserve"> PAGEREF _LarkToc00112 \h </w:instrText>
        </w:r>
        <w:r>
          <w:fldChar w:fldCharType="separate"/>
        </w:r>
        <w:r>
          <w:t>104</w:t>
        </w:r>
        <w:r>
          <w:fldChar w:fldCharType="end"/>
        </w:r>
      </w:hyperlink>
    </w:p>
    <w:p>
      <w:pPr>
        <w:pStyle w:val="TOC3"/>
        <w:tabs>
          <w:tab w:val="right" w:leader="dot" w:pos="9072"/>
        </w:tabs>
      </w:pPr>
      <w:hyperlink w:anchor="_LarkToc00113" w:history="1">
        <w:r>
          <w:t>附件8-14　计量与进度款申报跟踪台账</w:t>
        </w:r>
        <w:r>
          <w:tab/>
        </w:r>
        <w:r>
          <w:fldChar w:fldCharType="begin"/>
        </w:r>
        <w:r>
          <w:instrText xml:space="preserve"> PAGEREF _LarkToc00113 \h </w:instrText>
        </w:r>
        <w:r>
          <w:fldChar w:fldCharType="separate"/>
        </w:r>
        <w:r>
          <w:t>105</w:t>
        </w:r>
        <w:r>
          <w:fldChar w:fldCharType="end"/>
        </w:r>
      </w:hyperlink>
    </w:p>
    <w:p>
      <w:pPr>
        <w:pStyle w:val="TOC3"/>
        <w:tabs>
          <w:tab w:val="right" w:leader="dot" w:pos="9072"/>
        </w:tabs>
      </w:pPr>
      <w:hyperlink w:anchor="_LarkToc00114" w:history="1">
        <w:r>
          <w:t>附件8-15　转包、违法分包、挂靠合规自查表</w:t>
        </w:r>
        <w:r>
          <w:tab/>
        </w:r>
        <w:r>
          <w:fldChar w:fldCharType="begin"/>
        </w:r>
        <w:r>
          <w:instrText xml:space="preserve"> PAGEREF _LarkToc00114 \h </w:instrText>
        </w:r>
        <w:r>
          <w:fldChar w:fldCharType="separate"/>
        </w:r>
        <w:r>
          <w:t>106</w:t>
        </w:r>
        <w:r>
          <w:fldChar w:fldCharType="end"/>
        </w:r>
      </w:hyperlink>
    </w:p>
    <w:p>
      <w:pPr>
        <w:pStyle w:val="TOC3"/>
        <w:tabs>
          <w:tab w:val="right" w:leader="dot" w:pos="9072"/>
        </w:tabs>
      </w:pPr>
      <w:hyperlink w:anchor="_LarkToc00115" w:history="1">
        <w:r>
          <w:t>附件9-1　竣工验收条件核查表</w:t>
        </w:r>
        <w:r>
          <w:tab/>
        </w:r>
        <w:r>
          <w:fldChar w:fldCharType="begin"/>
        </w:r>
        <w:r>
          <w:instrText xml:space="preserve"> PAGEREF _LarkToc00115 \h </w:instrText>
        </w:r>
        <w:r>
          <w:fldChar w:fldCharType="separate"/>
        </w:r>
        <w:r>
          <w:t>110</w:t>
        </w:r>
        <w:r>
          <w:fldChar w:fldCharType="end"/>
        </w:r>
      </w:hyperlink>
    </w:p>
    <w:p>
      <w:pPr>
        <w:pStyle w:val="TOC3"/>
        <w:tabs>
          <w:tab w:val="right" w:leader="dot" w:pos="9072"/>
        </w:tabs>
      </w:pPr>
      <w:hyperlink w:anchor="_LarkToc00116" w:history="1">
        <w:r>
          <w:t>附件9-2　竣工资料归档移交清单</w:t>
        </w:r>
        <w:r>
          <w:tab/>
        </w:r>
        <w:r>
          <w:fldChar w:fldCharType="begin"/>
        </w:r>
        <w:r>
          <w:instrText xml:space="preserve"> PAGEREF _LarkToc00116 \h </w:instrText>
        </w:r>
        <w:r>
          <w:fldChar w:fldCharType="separate"/>
        </w:r>
        <w:r>
          <w:t>111</w:t>
        </w:r>
        <w:r>
          <w:fldChar w:fldCharType="end"/>
        </w:r>
      </w:hyperlink>
    </w:p>
    <w:p>
      <w:pPr>
        <w:pStyle w:val="TOC3"/>
        <w:tabs>
          <w:tab w:val="right" w:leader="dot" w:pos="9072"/>
        </w:tabs>
      </w:pPr>
      <w:hyperlink w:anchor="_LarkToc00117" w:history="1">
        <w:r>
          <w:t>附件9-3　验收问题整改闭环表</w:t>
        </w:r>
        <w:r>
          <w:tab/>
        </w:r>
        <w:r>
          <w:fldChar w:fldCharType="begin"/>
        </w:r>
        <w:r>
          <w:instrText xml:space="preserve"> PAGEREF _LarkToc00117 \h </w:instrText>
        </w:r>
        <w:r>
          <w:fldChar w:fldCharType="separate"/>
        </w:r>
        <w:r>
          <w:t>112</w:t>
        </w:r>
        <w:r>
          <w:fldChar w:fldCharType="end"/>
        </w:r>
      </w:hyperlink>
    </w:p>
    <w:p>
      <w:pPr>
        <w:pStyle w:val="TOC3"/>
        <w:tabs>
          <w:tab w:val="right" w:leader="dot" w:pos="9072"/>
        </w:tabs>
      </w:pPr>
      <w:hyperlink w:anchor="_LarkToc00118" w:history="1">
        <w:r>
          <w:t>附件9-4　工程移交（交接）单</w:t>
        </w:r>
        <w:r>
          <w:tab/>
        </w:r>
        <w:r>
          <w:fldChar w:fldCharType="begin"/>
        </w:r>
        <w:r>
          <w:instrText xml:space="preserve"> PAGEREF _LarkToc00118 \h </w:instrText>
        </w:r>
        <w:r>
          <w:fldChar w:fldCharType="separate"/>
        </w:r>
        <w:r>
          <w:t>113</w:t>
        </w:r>
        <w:r>
          <w:fldChar w:fldCharType="end"/>
        </w:r>
      </w:hyperlink>
    </w:p>
    <w:p>
      <w:pPr>
        <w:pStyle w:val="TOC3"/>
        <w:tabs>
          <w:tab w:val="right" w:leader="dot" w:pos="9072"/>
        </w:tabs>
      </w:pPr>
      <w:hyperlink w:anchor="_LarkToc00119" w:history="1">
        <w:r>
          <w:t>附件9-5　竣工现场清理与撤场确认表</w:t>
        </w:r>
        <w:r>
          <w:tab/>
        </w:r>
        <w:r>
          <w:fldChar w:fldCharType="begin"/>
        </w:r>
        <w:r>
          <w:instrText xml:space="preserve"> PAGEREF _LarkToc00119 \h </w:instrText>
        </w:r>
        <w:r>
          <w:fldChar w:fldCharType="separate"/>
        </w:r>
        <w:r>
          <w:t>114</w:t>
        </w:r>
        <w:r>
          <w:fldChar w:fldCharType="end"/>
        </w:r>
      </w:hyperlink>
    </w:p>
    <w:p>
      <w:pPr>
        <w:pStyle w:val="TOC3"/>
        <w:tabs>
          <w:tab w:val="right" w:leader="dot" w:pos="9072"/>
        </w:tabs>
      </w:pPr>
      <w:hyperlink w:anchor="_LarkToc00120" w:history="1">
        <w:r>
          <w:t>附件9-6　尾项与遗留问题整改销项、移交跟踪表</w:t>
        </w:r>
        <w:r>
          <w:tab/>
        </w:r>
        <w:r>
          <w:fldChar w:fldCharType="begin"/>
        </w:r>
        <w:r>
          <w:instrText xml:space="preserve"> PAGEREF _LarkToc00120 \h </w:instrText>
        </w:r>
        <w:r>
          <w:fldChar w:fldCharType="separate"/>
        </w:r>
        <w:r>
          <w:t>115</w:t>
        </w:r>
        <w:r>
          <w:fldChar w:fldCharType="end"/>
        </w:r>
      </w:hyperlink>
    </w:p>
    <w:p>
      <w:pPr>
        <w:pStyle w:val="TOC3"/>
        <w:tabs>
          <w:tab w:val="right" w:leader="dot" w:pos="9072"/>
        </w:tabs>
      </w:pPr>
      <w:hyperlink w:anchor="_LarkToc00121" w:history="1">
        <w:r>
          <w:t>附件10-1　竣工结算书目录与组成清单</w:t>
        </w:r>
        <w:r>
          <w:tab/>
        </w:r>
        <w:r>
          <w:fldChar w:fldCharType="begin"/>
        </w:r>
        <w:r>
          <w:instrText xml:space="preserve"> PAGEREF _LarkToc00121 \h </w:instrText>
        </w:r>
        <w:r>
          <w:fldChar w:fldCharType="separate"/>
        </w:r>
        <w:r>
          <w:t>119</w:t>
        </w:r>
        <w:r>
          <w:fldChar w:fldCharType="end"/>
        </w:r>
      </w:hyperlink>
    </w:p>
    <w:p>
      <w:pPr>
        <w:pStyle w:val="TOC3"/>
        <w:tabs>
          <w:tab w:val="right" w:leader="dot" w:pos="9072"/>
        </w:tabs>
      </w:pPr>
      <w:hyperlink w:anchor="_LarkToc00122" w:history="1">
        <w:r>
          <w:t>附件10-2　竣工结算送审金额汇总表</w:t>
        </w:r>
        <w:r>
          <w:tab/>
        </w:r>
        <w:r>
          <w:fldChar w:fldCharType="begin"/>
        </w:r>
        <w:r>
          <w:instrText xml:space="preserve"> PAGEREF _LarkToc00122 \h </w:instrText>
        </w:r>
        <w:r>
          <w:fldChar w:fldCharType="separate"/>
        </w:r>
        <w:r>
          <w:t>120</w:t>
        </w:r>
        <w:r>
          <w:fldChar w:fldCharType="end"/>
        </w:r>
      </w:hyperlink>
    </w:p>
    <w:p>
      <w:pPr>
        <w:pStyle w:val="TOC3"/>
        <w:tabs>
          <w:tab w:val="right" w:leader="dot" w:pos="9072"/>
        </w:tabs>
      </w:pPr>
      <w:hyperlink w:anchor="_LarkToc00123" w:history="1">
        <w:r>
          <w:t>附件10-3　结算资料报送与签收记录表</w:t>
        </w:r>
        <w:r>
          <w:tab/>
        </w:r>
        <w:r>
          <w:fldChar w:fldCharType="begin"/>
        </w:r>
        <w:r>
          <w:instrText xml:space="preserve"> PAGEREF _LarkToc00123 \h </w:instrText>
        </w:r>
        <w:r>
          <w:fldChar w:fldCharType="separate"/>
        </w:r>
        <w:r>
          <w:t>121</w:t>
        </w:r>
        <w:r>
          <w:fldChar w:fldCharType="end"/>
        </w:r>
      </w:hyperlink>
    </w:p>
    <w:p>
      <w:pPr>
        <w:pStyle w:val="TOC3"/>
        <w:tabs>
          <w:tab w:val="right" w:leader="dot" w:pos="9072"/>
        </w:tabs>
      </w:pPr>
      <w:hyperlink w:anchor="_LarkToc00124" w:history="1">
        <w:r>
          <w:t>附件10-4　结算审核跟踪与争议事项台账</w:t>
        </w:r>
        <w:r>
          <w:tab/>
        </w:r>
        <w:r>
          <w:fldChar w:fldCharType="begin"/>
        </w:r>
        <w:r>
          <w:instrText xml:space="preserve"> PAGEREF _LarkToc00124 \h </w:instrText>
        </w:r>
        <w:r>
          <w:fldChar w:fldCharType="separate"/>
        </w:r>
        <w:r>
          <w:t>122</w:t>
        </w:r>
        <w:r>
          <w:fldChar w:fldCharType="end"/>
        </w:r>
      </w:hyperlink>
    </w:p>
    <w:p>
      <w:pPr>
        <w:pStyle w:val="TOC3"/>
        <w:tabs>
          <w:tab w:val="right" w:leader="dot" w:pos="9072"/>
        </w:tabs>
      </w:pPr>
      <w:hyperlink w:anchor="_LarkToc00125" w:history="1">
        <w:r>
          <w:t>附件10-5　应收账款账龄分析与清欠表</w:t>
        </w:r>
        <w:r>
          <w:tab/>
        </w:r>
        <w:r>
          <w:fldChar w:fldCharType="begin"/>
        </w:r>
        <w:r>
          <w:instrText xml:space="preserve"> PAGEREF _LarkToc00125 \h </w:instrText>
        </w:r>
        <w:r>
          <w:fldChar w:fldCharType="separate"/>
        </w:r>
        <w:r>
          <w:t>123</w:t>
        </w:r>
        <w:r>
          <w:fldChar w:fldCharType="end"/>
        </w:r>
      </w:hyperlink>
    </w:p>
    <w:p>
      <w:pPr>
        <w:pStyle w:val="TOC3"/>
        <w:tabs>
          <w:tab w:val="right" w:leader="dot" w:pos="9072"/>
        </w:tabs>
      </w:pPr>
      <w:hyperlink w:anchor="_LarkToc00126" w:history="1">
        <w:r>
          <w:t>附件10-6　工程价款优先受偿权与诉讼时效管理表</w:t>
        </w:r>
        <w:r>
          <w:tab/>
        </w:r>
        <w:r>
          <w:fldChar w:fldCharType="begin"/>
        </w:r>
        <w:r>
          <w:instrText xml:space="preserve"> PAGEREF _LarkToc00126 \h </w:instrText>
        </w:r>
        <w:r>
          <w:fldChar w:fldCharType="separate"/>
        </w:r>
        <w:r>
          <w:t>124</w:t>
        </w:r>
        <w:r>
          <w:fldChar w:fldCharType="end"/>
        </w:r>
      </w:hyperlink>
    </w:p>
    <w:p>
      <w:pPr>
        <w:pStyle w:val="TOC3"/>
        <w:tabs>
          <w:tab w:val="right" w:leader="dot" w:pos="9072"/>
        </w:tabs>
      </w:pPr>
      <w:hyperlink w:anchor="_LarkToc00127" w:history="1">
        <w:r>
          <w:t>附件10-7　结算争议、造价鉴定与司法解决流程表</w:t>
        </w:r>
        <w:r>
          <w:tab/>
        </w:r>
        <w:r>
          <w:fldChar w:fldCharType="begin"/>
        </w:r>
        <w:r>
          <w:instrText xml:space="preserve"> PAGEREF _LarkToc00127 \h </w:instrText>
        </w:r>
        <w:r>
          <w:fldChar w:fldCharType="separate"/>
        </w:r>
        <w:r>
          <w:t>125</w:t>
        </w:r>
        <w:r>
          <w:fldChar w:fldCharType="end"/>
        </w:r>
      </w:hyperlink>
    </w:p>
    <w:p>
      <w:pPr>
        <w:pStyle w:val="TOC3"/>
        <w:tabs>
          <w:tab w:val="right" w:leader="dot" w:pos="9072"/>
        </w:tabs>
      </w:pPr>
      <w:hyperlink w:anchor="_LarkToc00128" w:history="1">
        <w:r>
          <w:t>附件10-8　结算谈判策略与让步底线审批表</w:t>
        </w:r>
        <w:r>
          <w:tab/>
        </w:r>
        <w:r>
          <w:fldChar w:fldCharType="begin"/>
        </w:r>
        <w:r>
          <w:instrText xml:space="preserve"> PAGEREF _LarkToc00128 \h </w:instrText>
        </w:r>
        <w:r>
          <w:fldChar w:fldCharType="separate"/>
        </w:r>
        <w:r>
          <w:t>127</w:t>
        </w:r>
        <w:r>
          <w:fldChar w:fldCharType="end"/>
        </w:r>
      </w:hyperlink>
    </w:p>
    <w:p>
      <w:pPr>
        <w:pStyle w:val="TOC3"/>
        <w:tabs>
          <w:tab w:val="right" w:leader="dot" w:pos="9072"/>
        </w:tabs>
      </w:pPr>
      <w:hyperlink w:anchor="_LarkToc00129" w:history="1">
        <w:r>
          <w:t>附件11-1　质量保修期与保修范围一览表</w:t>
        </w:r>
        <w:r>
          <w:tab/>
        </w:r>
        <w:r>
          <w:fldChar w:fldCharType="begin"/>
        </w:r>
        <w:r>
          <w:instrText xml:space="preserve"> PAGEREF _LarkToc00129 \h </w:instrText>
        </w:r>
        <w:r>
          <w:fldChar w:fldCharType="separate"/>
        </w:r>
        <w:r>
          <w:t>131</w:t>
        </w:r>
        <w:r>
          <w:fldChar w:fldCharType="end"/>
        </w:r>
      </w:hyperlink>
    </w:p>
    <w:p>
      <w:pPr>
        <w:pStyle w:val="TOC3"/>
        <w:tabs>
          <w:tab w:val="right" w:leader="dot" w:pos="9072"/>
        </w:tabs>
      </w:pPr>
      <w:hyperlink w:anchor="_LarkToc00130" w:history="1">
        <w:r>
          <w:t>附件11-2　工程回访计划与记录表</w:t>
        </w:r>
        <w:r>
          <w:tab/>
        </w:r>
        <w:r>
          <w:fldChar w:fldCharType="begin"/>
        </w:r>
        <w:r>
          <w:instrText xml:space="preserve"> PAGEREF _LarkToc00130 \h </w:instrText>
        </w:r>
        <w:r>
          <w:fldChar w:fldCharType="separate"/>
        </w:r>
        <w:r>
          <w:t>132</w:t>
        </w:r>
        <w:r>
          <w:fldChar w:fldCharType="end"/>
        </w:r>
      </w:hyperlink>
    </w:p>
    <w:p>
      <w:pPr>
        <w:pStyle w:val="TOC3"/>
        <w:tabs>
          <w:tab w:val="right" w:leader="dot" w:pos="9072"/>
        </w:tabs>
      </w:pPr>
      <w:hyperlink w:anchor="_LarkToc00131" w:history="1">
        <w:r>
          <w:t>附件11-3　保修维修通知单与维修单</w:t>
        </w:r>
        <w:r>
          <w:tab/>
        </w:r>
        <w:r>
          <w:fldChar w:fldCharType="begin"/>
        </w:r>
        <w:r>
          <w:instrText xml:space="preserve"> PAGEREF _LarkToc00131 \h </w:instrText>
        </w:r>
        <w:r>
          <w:fldChar w:fldCharType="separate"/>
        </w:r>
        <w:r>
          <w:t>133</w:t>
        </w:r>
        <w:r>
          <w:fldChar w:fldCharType="end"/>
        </w:r>
      </w:hyperlink>
    </w:p>
    <w:p>
      <w:pPr>
        <w:pStyle w:val="TOC3"/>
        <w:tabs>
          <w:tab w:val="right" w:leader="dot" w:pos="9072"/>
        </w:tabs>
      </w:pPr>
      <w:hyperlink w:anchor="_LarkToc00132" w:history="1">
        <w:r>
          <w:t>附件11-4　质量保证金返还跟踪表</w:t>
        </w:r>
        <w:r>
          <w:tab/>
        </w:r>
        <w:r>
          <w:fldChar w:fldCharType="begin"/>
        </w:r>
        <w:r>
          <w:instrText xml:space="preserve"> PAGEREF _LarkToc00132 \h </w:instrText>
        </w:r>
        <w:r>
          <w:fldChar w:fldCharType="separate"/>
        </w:r>
        <w:r>
          <w:t>134</w:t>
        </w:r>
        <w:r>
          <w:fldChar w:fldCharType="end"/>
        </w:r>
      </w:hyperlink>
    </w:p>
    <w:p>
      <w:pPr>
        <w:pStyle w:val="TOC3"/>
        <w:tabs>
          <w:tab w:val="right" w:leader="dot" w:pos="9072"/>
        </w:tabs>
      </w:pPr>
      <w:hyperlink w:anchor="_LarkToc00133" w:history="1">
        <w:r>
          <w:t>附件11-5　缺陷责任期与保修费用台账</w:t>
        </w:r>
        <w:r>
          <w:tab/>
        </w:r>
        <w:r>
          <w:fldChar w:fldCharType="begin"/>
        </w:r>
        <w:r>
          <w:instrText xml:space="preserve"> PAGEREF _LarkToc00133 \h </w:instrText>
        </w:r>
        <w:r>
          <w:fldChar w:fldCharType="separate"/>
        </w:r>
        <w:r>
          <w:t>135</w:t>
        </w:r>
        <w:r>
          <w:fldChar w:fldCharType="end"/>
        </w:r>
      </w:hyperlink>
    </w:p>
    <w:p>
      <w:pPr>
        <w:pStyle w:val="TOC3"/>
        <w:tabs>
          <w:tab w:val="right" w:leader="dot" w:pos="9072"/>
        </w:tabs>
      </w:pPr>
      <w:hyperlink w:anchor="_LarkToc00134" w:history="1">
        <w:r>
          <w:t>附件11-6　保修责任界定与第三方损失（含业主索赔）处理表</w:t>
        </w:r>
        <w:r>
          <w:tab/>
        </w:r>
        <w:r>
          <w:fldChar w:fldCharType="begin"/>
        </w:r>
        <w:r>
          <w:instrText xml:space="preserve"> PAGEREF _LarkToc00134 \h </w:instrText>
        </w:r>
        <w:r>
          <w:fldChar w:fldCharType="separate"/>
        </w:r>
        <w:r>
          <w:t>136</w:t>
        </w:r>
        <w:r>
          <w:fldChar w:fldCharType="end"/>
        </w:r>
      </w:hyperlink>
    </w:p>
    <w:p>
      <w:pPr>
        <w:pStyle w:val="TOC3"/>
        <w:tabs>
          <w:tab w:val="right" w:leader="dot" w:pos="9072"/>
        </w:tabs>
      </w:pPr>
      <w:hyperlink w:anchor="_LarkToc00135" w:history="1">
        <w:r>
          <w:t>附件12-1　全过程证据清单、效力等级与送达证据表</w:t>
        </w:r>
        <w:r>
          <w:tab/>
        </w:r>
        <w:r>
          <w:fldChar w:fldCharType="begin"/>
        </w:r>
        <w:r>
          <w:instrText xml:space="preserve"> PAGEREF _LarkToc00135 \h </w:instrText>
        </w:r>
        <w:r>
          <w:fldChar w:fldCharType="separate"/>
        </w:r>
        <w:r>
          <w:t>141</w:t>
        </w:r>
        <w:r>
          <w:fldChar w:fldCharType="end"/>
        </w:r>
      </w:hyperlink>
    </w:p>
    <w:p>
      <w:pPr>
        <w:pStyle w:val="TOC3"/>
        <w:tabs>
          <w:tab w:val="right" w:leader="dot" w:pos="9072"/>
        </w:tabs>
      </w:pPr>
      <w:hyperlink w:anchor="_LarkToc00136" w:history="1">
        <w:r>
          <w:t>附件12-2　电子证据固化与公证指引表</w:t>
        </w:r>
        <w:r>
          <w:tab/>
        </w:r>
        <w:r>
          <w:fldChar w:fldCharType="begin"/>
        </w:r>
        <w:r>
          <w:instrText xml:space="preserve"> PAGEREF _LarkToc00136 \h </w:instrText>
        </w:r>
        <w:r>
          <w:fldChar w:fldCharType="separate"/>
        </w:r>
        <w:r>
          <w:t>144</w:t>
        </w:r>
        <w:r>
          <w:fldChar w:fldCharType="end"/>
        </w:r>
      </w:hyperlink>
    </w:p>
    <w:p>
      <w:pPr>
        <w:pStyle w:val="TOC3"/>
        <w:tabs>
          <w:tab w:val="right" w:leader="dot" w:pos="9072"/>
        </w:tabs>
      </w:pPr>
      <w:hyperlink w:anchor="_LarkToc00137" w:history="1">
        <w:r>
          <w:t>附件13-1　项目台账总目录</w:t>
        </w:r>
        <w:r>
          <w:tab/>
        </w:r>
        <w:r>
          <w:fldChar w:fldCharType="begin"/>
        </w:r>
        <w:r>
          <w:instrText xml:space="preserve"> PAGEREF _LarkToc00137 \h </w:instrText>
        </w:r>
        <w:r>
          <w:fldChar w:fldCharType="separate"/>
        </w:r>
        <w:r>
          <w:t>149</w:t>
        </w:r>
        <w:r>
          <w:fldChar w:fldCharType="end"/>
        </w:r>
      </w:hyperlink>
    </w:p>
    <w:p>
      <w:pPr>
        <w:pStyle w:val="TOC3"/>
        <w:tabs>
          <w:tab w:val="right" w:leader="dot" w:pos="9072"/>
        </w:tabs>
      </w:pPr>
      <w:hyperlink w:anchor="_LarkToc00138" w:history="1">
        <w:r>
          <w:t>附件13-2　关键时效与期限一览表</w:t>
        </w:r>
        <w:r>
          <w:tab/>
        </w:r>
        <w:r>
          <w:fldChar w:fldCharType="begin"/>
        </w:r>
        <w:r>
          <w:instrText xml:space="preserve"> PAGEREF _LarkToc00138 \h </w:instrText>
        </w:r>
        <w:r>
          <w:fldChar w:fldCharType="separate"/>
        </w:r>
        <w:r>
          <w:t>151</w:t>
        </w:r>
        <w:r>
          <w:fldChar w:fldCharType="end"/>
        </w:r>
      </w:hyperlink>
    </w:p>
    <w:p>
      <w:pPr>
        <w:pStyle w:val="TOC3"/>
        <w:tabs>
          <w:tab w:val="right" w:leader="dot" w:pos="9072"/>
        </w:tabs>
      </w:pPr>
      <w:hyperlink w:anchor="_LarkToc00139" w:history="1">
        <w:r>
          <w:t>附件13-3　印章证照、授权委托与介绍信管理台账</w:t>
        </w:r>
        <w:r>
          <w:tab/>
        </w:r>
        <w:r>
          <w:fldChar w:fldCharType="begin"/>
        </w:r>
        <w:r>
          <w:instrText xml:space="preserve"> PAGEREF _LarkToc00139 \h </w:instrText>
        </w:r>
        <w:r>
          <w:fldChar w:fldCharType="separate"/>
        </w:r>
        <w:r>
          <w:t>153</w:t>
        </w:r>
        <w:r>
          <w:fldChar w:fldCharType="end"/>
        </w:r>
      </w:hyperlink>
    </w:p>
    <w:p>
      <w:pPr>
        <w:pStyle w:val="TOC3"/>
        <w:tabs>
          <w:tab w:val="right" w:leader="dot" w:pos="9072"/>
        </w:tabs>
      </w:pPr>
      <w:hyperlink w:anchor="_LarkToc00140" w:history="1">
        <w:r>
          <w:t>附件14-1　项目现金流与资金风险预警管控表</w:t>
        </w:r>
        <w:r>
          <w:tab/>
        </w:r>
        <w:r>
          <w:fldChar w:fldCharType="begin"/>
        </w:r>
        <w:r>
          <w:instrText xml:space="preserve"> PAGEREF _LarkToc00140 \h </w:instrText>
        </w:r>
        <w:r>
          <w:fldChar w:fldCharType="separate"/>
        </w:r>
        <w:r>
          <w:t>157</w:t>
        </w:r>
        <w:r>
          <w:fldChar w:fldCharType="end"/>
        </w:r>
      </w:hyperlink>
    </w:p>
    <w:p>
      <w:pPr>
        <w:pStyle w:val="TOC3"/>
        <w:tabs>
          <w:tab w:val="right" w:leader="dot" w:pos="9072"/>
        </w:tabs>
      </w:pPr>
      <w:hyperlink w:anchor="_LarkToc00141" w:history="1">
        <w:r>
          <w:t>附件14-2　合规红线自查总表</w:t>
        </w:r>
        <w:r>
          <w:tab/>
        </w:r>
        <w:r>
          <w:fldChar w:fldCharType="begin"/>
        </w:r>
        <w:r>
          <w:instrText xml:space="preserve"> PAGEREF _LarkToc00141 \h </w:instrText>
        </w:r>
        <w:r>
          <w:fldChar w:fldCharType="separate"/>
        </w:r>
        <w:r>
          <w:t>159</w:t>
        </w:r>
        <w:r>
          <w:fldChar w:fldCharType="end"/>
        </w:r>
      </w:hyperlink>
    </w:p>
    <w:p>
      <w:pPr>
        <w:pStyle w:val="TOC3"/>
        <w:tabs>
          <w:tab w:val="right" w:leader="dot" w:pos="9072"/>
        </w:tabs>
      </w:pPr>
      <w:hyperlink w:anchor="_LarkToc00142" w:history="1">
        <w:r>
          <w:t>附件14-3　项目廉洁风险点与防控矩阵表</w:t>
        </w:r>
        <w:r>
          <w:tab/>
        </w:r>
        <w:r>
          <w:fldChar w:fldCharType="begin"/>
        </w:r>
        <w:r>
          <w:instrText xml:space="preserve"> PAGEREF _LarkToc00142 \h </w:instrText>
        </w:r>
        <w:r>
          <w:fldChar w:fldCharType="separate"/>
        </w:r>
        <w:r>
          <w:t>161</w:t>
        </w:r>
        <w:r>
          <w:fldChar w:fldCharType="end"/>
        </w:r>
      </w:hyperlink>
    </w:p>
    <w:p>
      <w:pPr>
        <w:pStyle w:val="TOC3"/>
        <w:tabs>
          <w:tab w:val="right" w:leader="dot" w:pos="9072"/>
        </w:tabs>
      </w:pPr>
      <w:hyperlink w:anchor="_LarkToc00143" w:history="1">
        <w:r>
          <w:t>附件15-1　行业周期与企业处境研判表</w:t>
        </w:r>
        <w:r>
          <w:tab/>
        </w:r>
        <w:r>
          <w:fldChar w:fldCharType="begin"/>
        </w:r>
        <w:r>
          <w:instrText xml:space="preserve"> PAGEREF _LarkToc00143 \h </w:instrText>
        </w:r>
        <w:r>
          <w:fldChar w:fldCharType="separate"/>
        </w:r>
        <w:r>
          <w:t>166</w:t>
        </w:r>
        <w:r>
          <w:fldChar w:fldCharType="end"/>
        </w:r>
      </w:hyperlink>
    </w:p>
    <w:p>
      <w:pPr>
        <w:pStyle w:val="TOC3"/>
        <w:tabs>
          <w:tab w:val="right" w:leader="dot" w:pos="9072"/>
        </w:tabs>
      </w:pPr>
      <w:hyperlink w:anchor="_LarkToc00144" w:history="1">
        <w:r>
          <w:t>附件15-2　企业订单与现金流压力测试表</w:t>
        </w:r>
        <w:r>
          <w:tab/>
        </w:r>
        <w:r>
          <w:fldChar w:fldCharType="begin"/>
        </w:r>
        <w:r>
          <w:instrText xml:space="preserve"> PAGEREF _LarkToc00144 \h </w:instrText>
        </w:r>
        <w:r>
          <w:fldChar w:fldCharType="separate"/>
        </w:r>
        <w:r>
          <w:t>168</w:t>
        </w:r>
        <w:r>
          <w:fldChar w:fldCharType="end"/>
        </w:r>
      </w:hyperlink>
    </w:p>
    <w:p>
      <w:pPr>
        <w:pStyle w:val="TOC3"/>
        <w:tabs>
          <w:tab w:val="right" w:leader="dot" w:pos="9072"/>
        </w:tabs>
      </w:pPr>
      <w:hyperlink w:anchor="_LarkToc00145" w:history="1">
        <w:r>
          <w:t>附件16-1　目标市场与业务选择评估表</w:t>
        </w:r>
        <w:r>
          <w:tab/>
        </w:r>
        <w:r>
          <w:fldChar w:fldCharType="begin"/>
        </w:r>
        <w:r>
          <w:instrText xml:space="preserve"> PAGEREF _LarkToc00145 \h </w:instrText>
        </w:r>
        <w:r>
          <w:fldChar w:fldCharType="separate"/>
        </w:r>
        <w:r>
          <w:t>172</w:t>
        </w:r>
        <w:r>
          <w:fldChar w:fldCharType="end"/>
        </w:r>
      </w:hyperlink>
    </w:p>
    <w:p>
      <w:pPr>
        <w:pStyle w:val="TOC3"/>
        <w:tabs>
          <w:tab w:val="right" w:leader="dot" w:pos="9072"/>
        </w:tabs>
      </w:pPr>
      <w:hyperlink w:anchor="_LarkToc00146" w:history="1">
        <w:r>
          <w:t>附件16-2　重点业主信用与区域回款环境评估表</w:t>
        </w:r>
        <w:r>
          <w:tab/>
        </w:r>
        <w:r>
          <w:fldChar w:fldCharType="begin"/>
        </w:r>
        <w:r>
          <w:instrText xml:space="preserve"> PAGEREF _LarkToc00146 \h </w:instrText>
        </w:r>
        <w:r>
          <w:fldChar w:fldCharType="separate"/>
        </w:r>
        <w:r>
          <w:t>174</w:t>
        </w:r>
        <w:r>
          <w:fldChar w:fldCharType="end"/>
        </w:r>
      </w:hyperlink>
    </w:p>
    <w:p>
      <w:pPr>
        <w:pStyle w:val="TOC3"/>
        <w:tabs>
          <w:tab w:val="right" w:leader="dot" w:pos="9072"/>
        </w:tabs>
      </w:pPr>
      <w:hyperlink w:anchor="_LarkToc00147" w:history="1">
        <w:r>
          <w:t>附件17-1　转型方向可行性评估表</w:t>
        </w:r>
        <w:r>
          <w:tab/>
        </w:r>
        <w:r>
          <w:fldChar w:fldCharType="begin"/>
        </w:r>
        <w:r>
          <w:instrText xml:space="preserve"> PAGEREF _LarkToc00147 \h </w:instrText>
        </w:r>
        <w:r>
          <w:fldChar w:fldCharType="separate"/>
        </w:r>
        <w:r>
          <w:t>178</w:t>
        </w:r>
        <w:r>
          <w:fldChar w:fldCharType="end"/>
        </w:r>
      </w:hyperlink>
    </w:p>
    <w:p>
      <w:pPr>
        <w:pStyle w:val="TOC3"/>
        <w:tabs>
          <w:tab w:val="right" w:leader="dot" w:pos="9072"/>
        </w:tabs>
      </w:pPr>
      <w:hyperlink w:anchor="_LarkToc00148" w:history="1">
        <w:r>
          <w:t>附件17-2　转型试点项目立项与复盘表</w:t>
        </w:r>
        <w:r>
          <w:tab/>
        </w:r>
        <w:r>
          <w:fldChar w:fldCharType="begin"/>
        </w:r>
        <w:r>
          <w:instrText xml:space="preserve"> PAGEREF _LarkToc00148 \h </w:instrText>
        </w:r>
        <w:r>
          <w:fldChar w:fldCharType="separate"/>
        </w:r>
        <w:r>
          <w:t>179</w:t>
        </w:r>
        <w:r>
          <w:fldChar w:fldCharType="end"/>
        </w:r>
      </w:hyperlink>
    </w:p>
    <w:p>
      <w:pPr>
        <w:pStyle w:val="TOC3"/>
        <w:tabs>
          <w:tab w:val="right" w:leader="dot" w:pos="9072"/>
        </w:tabs>
      </w:pPr>
      <w:hyperlink w:anchor="_LarkToc00149" w:history="1">
        <w:r>
          <w:t>附件18-1　安全质量底线红线与一票否决表</w:t>
        </w:r>
        <w:r>
          <w:tab/>
        </w:r>
        <w:r>
          <w:fldChar w:fldCharType="begin"/>
        </w:r>
        <w:r>
          <w:instrText xml:space="preserve"> PAGEREF _LarkToc00149 \h </w:instrText>
        </w:r>
        <w:r>
          <w:fldChar w:fldCharType="separate"/>
        </w:r>
        <w:r>
          <w:t>184</w:t>
        </w:r>
        <w:r>
          <w:fldChar w:fldCharType="end"/>
        </w:r>
      </w:hyperlink>
    </w:p>
    <w:p>
      <w:pPr>
        <w:pStyle w:val="TOC3"/>
        <w:tabs>
          <w:tab w:val="right" w:leader="dot" w:pos="9072"/>
        </w:tabs>
      </w:pPr>
      <w:hyperlink w:anchor="_LarkToc00150" w:history="1">
        <w:r>
          <w:t>附件18-2　安全质量责任清单与领导履职记录表</w:t>
        </w:r>
        <w:r>
          <w:tab/>
        </w:r>
        <w:r>
          <w:fldChar w:fldCharType="begin"/>
        </w:r>
        <w:r>
          <w:instrText xml:space="preserve"> PAGEREF _LarkToc00150 \h </w:instrText>
        </w:r>
        <w:r>
          <w:fldChar w:fldCharType="separate"/>
        </w:r>
        <w:r>
          <w:t>186</w:t>
        </w:r>
        <w:r>
          <w:fldChar w:fldCharType="end"/>
        </w:r>
      </w:hyperlink>
    </w:p>
    <w:p>
      <w:pPr>
        <w:pStyle w:val="TOC3"/>
        <w:tabs>
          <w:tab w:val="right" w:leader="dot" w:pos="9072"/>
        </w:tabs>
      </w:pPr>
      <w:hyperlink w:anchor="_LarkToc00151" w:history="1">
        <w:r>
          <w:t>附件19-1　关键岗位人才盘点表</w:t>
        </w:r>
        <w:r>
          <w:tab/>
        </w:r>
        <w:r>
          <w:fldChar w:fldCharType="begin"/>
        </w:r>
        <w:r>
          <w:instrText xml:space="preserve"> PAGEREF _LarkToc00151 \h </w:instrText>
        </w:r>
        <w:r>
          <w:fldChar w:fldCharType="separate"/>
        </w:r>
        <w:r>
          <w:t>192</w:t>
        </w:r>
        <w:r>
          <w:fldChar w:fldCharType="end"/>
        </w:r>
      </w:hyperlink>
    </w:p>
    <w:p>
      <w:pPr>
        <w:pStyle w:val="TOC3"/>
        <w:tabs>
          <w:tab w:val="right" w:leader="dot" w:pos="9072"/>
        </w:tabs>
      </w:pPr>
      <w:hyperlink w:anchor="_LarkToc00152" w:history="1">
        <w:r>
          <w:t>附件19-2　培训与梯队建设计划表</w:t>
        </w:r>
        <w:r>
          <w:tab/>
        </w:r>
        <w:r>
          <w:fldChar w:fldCharType="begin"/>
        </w:r>
        <w:r>
          <w:instrText xml:space="preserve"> PAGEREF _LarkToc00152 \h </w:instrText>
        </w:r>
        <w:r>
          <w:fldChar w:fldCharType="separate"/>
        </w:r>
        <w:r>
          <w:t>193</w:t>
        </w:r>
        <w:r>
          <w:fldChar w:fldCharType="end"/>
        </w:r>
      </w:hyperlink>
    </w:p>
    <w:p>
      <w:pPr>
        <w:pStyle w:val="TOC3"/>
        <w:tabs>
          <w:tab w:val="right" w:leader="dot" w:pos="9072"/>
        </w:tabs>
      </w:pPr>
      <w:hyperlink w:anchor="_LarkToc00153" w:history="1">
        <w:r>
          <w:t>附件19-3　项目班子与项目经理考核表</w:t>
        </w:r>
        <w:r>
          <w:tab/>
        </w:r>
        <w:r>
          <w:fldChar w:fldCharType="begin"/>
        </w:r>
        <w:r>
          <w:instrText xml:space="preserve"> PAGEREF _LarkToc00153 \h </w:instrText>
        </w:r>
        <w:r>
          <w:fldChar w:fldCharType="separate"/>
        </w:r>
        <w:r>
          <w:t>195</w:t>
        </w:r>
        <w:r>
          <w:fldChar w:fldCharType="end"/>
        </w:r>
      </w:hyperlink>
    </w:p>
    <w:p>
      <w:pPr>
        <w:pStyle w:val="TOC3"/>
        <w:tabs>
          <w:tab w:val="right" w:leader="dot" w:pos="9072"/>
        </w:tabs>
      </w:pPr>
      <w:hyperlink w:anchor="_LarkToc00154" w:history="1">
        <w:r>
          <w:t>附件20-1　项目班子工作统筹与周/月例会表</w:t>
        </w:r>
        <w:r>
          <w:tab/>
        </w:r>
        <w:r>
          <w:fldChar w:fldCharType="begin"/>
        </w:r>
        <w:r>
          <w:instrText xml:space="preserve"> PAGEREF _LarkToc00154 \h </w:instrText>
        </w:r>
        <w:r>
          <w:fldChar w:fldCharType="separate"/>
        </w:r>
        <w:r>
          <w:t>199</w:t>
        </w:r>
        <w:r>
          <w:fldChar w:fldCharType="end"/>
        </w:r>
      </w:hyperlink>
    </w:p>
    <w:p>
      <w:pPr>
        <w:pStyle w:val="TOC3"/>
        <w:tabs>
          <w:tab w:val="right" w:leader="dot" w:pos="9072"/>
        </w:tabs>
      </w:pPr>
      <w:hyperlink w:anchor="_LarkToc00155" w:history="1">
        <w:r>
          <w:t>附件20-2　项目班子会议体系与决议跟踪表</w:t>
        </w:r>
        <w:r>
          <w:tab/>
        </w:r>
        <w:r>
          <w:fldChar w:fldCharType="begin"/>
        </w:r>
        <w:r>
          <w:instrText xml:space="preserve"> PAGEREF _LarkToc00155 \h </w:instrText>
        </w:r>
        <w:r>
          <w:fldChar w:fldCharType="separate"/>
        </w:r>
        <w:r>
          <w:t>201</w:t>
        </w:r>
        <w:r>
          <w:fldChar w:fldCharType="end"/>
        </w:r>
      </w:hyperlink>
    </w:p>
    <w:p>
      <w:pPr>
        <w:pStyle w:val="TOC3"/>
        <w:tabs>
          <w:tab w:val="right" w:leader="dot" w:pos="9072"/>
        </w:tabs>
      </w:pPr>
      <w:hyperlink w:anchor="_LarkToc00156" w:history="1">
        <w:r>
          <w:t>附件21-1　调查研究计划表与调研提纲模板</w:t>
        </w:r>
        <w:r>
          <w:tab/>
        </w:r>
        <w:r>
          <w:fldChar w:fldCharType="begin"/>
        </w:r>
        <w:r>
          <w:instrText xml:space="preserve"> PAGEREF _LarkToc00156 \h </w:instrText>
        </w:r>
        <w:r>
          <w:fldChar w:fldCharType="separate"/>
        </w:r>
        <w:r>
          <w:t>206</w:t>
        </w:r>
        <w:r>
          <w:fldChar w:fldCharType="end"/>
        </w:r>
      </w:hyperlink>
    </w:p>
    <w:p>
      <w:pPr>
        <w:pStyle w:val="TOC3"/>
        <w:tabs>
          <w:tab w:val="right" w:leader="dot" w:pos="9072"/>
        </w:tabs>
      </w:pPr>
      <w:hyperlink w:anchor="_LarkToc00157" w:history="1">
        <w:r>
          <w:t>附件22-1　月度/节点复盘表</w:t>
        </w:r>
        <w:r>
          <w:tab/>
        </w:r>
        <w:r>
          <w:fldChar w:fldCharType="begin"/>
        </w:r>
        <w:r>
          <w:instrText xml:space="preserve"> PAGEREF _LarkToc00157 \h </w:instrText>
        </w:r>
        <w:r>
          <w:fldChar w:fldCharType="separate"/>
        </w:r>
        <w:r>
          <w:t>212</w:t>
        </w:r>
        <w:r>
          <w:fldChar w:fldCharType="end"/>
        </w:r>
      </w:hyperlink>
    </w:p>
    <w:p>
      <w:pPr>
        <w:pStyle w:val="TOC3"/>
        <w:tabs>
          <w:tab w:val="right" w:leader="dot" w:pos="9072"/>
        </w:tabs>
      </w:pPr>
      <w:hyperlink w:anchor="_LarkToc00158" w:history="1">
        <w:r>
          <w:t>附件22-2　项目竣工复盘（后评价）表（含经验教训库）</w:t>
        </w:r>
        <w:r>
          <w:tab/>
        </w:r>
        <w:r>
          <w:fldChar w:fldCharType="begin"/>
        </w:r>
        <w:r>
          <w:instrText xml:space="preserve"> PAGEREF _LarkToc00158 \h </w:instrText>
        </w:r>
        <w:r>
          <w:fldChar w:fldCharType="separate"/>
        </w:r>
        <w:r>
          <w:t>214</w:t>
        </w:r>
        <w:r>
          <w:fldChar w:fldCharType="end"/>
        </w:r>
      </w:hyperlink>
    </w:p>
    <w:p>
      <w:pPr>
        <w:pStyle w:val="TOC3"/>
        <w:tabs>
          <w:tab w:val="right" w:leader="dot" w:pos="9072"/>
        </w:tabs>
      </w:pPr>
      <w:hyperlink w:anchor="_LarkToc00159" w:history="1">
        <w:r>
          <w:t>附件22-3　经验教训库与典型问题案例模板表</w:t>
        </w:r>
        <w:r>
          <w:tab/>
        </w:r>
        <w:r>
          <w:fldChar w:fldCharType="begin"/>
        </w:r>
        <w:r>
          <w:instrText xml:space="preserve"> PAGEREF _LarkToc00159 \h </w:instrText>
        </w:r>
        <w:r>
          <w:fldChar w:fldCharType="separate"/>
        </w:r>
        <w:r>
          <w:t>216</w:t>
        </w:r>
        <w:r>
          <w:fldChar w:fldCharType="end"/>
        </w:r>
      </w:hyperlink>
    </w:p>
    <w:p>
      <w:pPr>
        <w:pStyle w:val="TOC3"/>
        <w:tabs>
          <w:tab w:val="right" w:leader="dot" w:pos="9072"/>
        </w:tabs>
      </w:pPr>
      <w:hyperlink w:anchor="_LarkToc00160" w:history="1">
        <w:r>
          <w:t>附件23-1　作风建设与廉洁从业自查表</w:t>
        </w:r>
        <w:r>
          <w:tab/>
        </w:r>
        <w:r>
          <w:fldChar w:fldCharType="begin"/>
        </w:r>
        <w:r>
          <w:instrText xml:space="preserve"> PAGEREF _LarkToc00160 \h </w:instrText>
        </w:r>
        <w:r>
          <w:fldChar w:fldCharType="separate"/>
        </w:r>
        <w:r>
          <w:t>221</w:t>
        </w:r>
        <w:r>
          <w:fldChar w:fldCharType="end"/>
        </w:r>
      </w:hyperlink>
    </w:p>
    <w:p>
      <w:pPr>
        <w:pStyle w:val="TOC3"/>
        <w:tabs>
          <w:tab w:val="right" w:leader="dot" w:pos="9072"/>
        </w:tabs>
      </w:pPr>
      <w:hyperlink w:anchor="_LarkToc00161" w:history="1">
        <w:r>
          <w:t>附件23-2　业务招待、差旅、用车与礼品礼金自查表</w:t>
        </w:r>
        <w:r>
          <w:tab/>
        </w:r>
        <w:r>
          <w:fldChar w:fldCharType="begin"/>
        </w:r>
        <w:r>
          <w:instrText xml:space="preserve"> PAGEREF _LarkToc00161 \h </w:instrText>
        </w:r>
        <w:r>
          <w:fldChar w:fldCharType="separate"/>
        </w:r>
        <w:r>
          <w:t>222</w:t>
        </w:r>
        <w:r>
          <w:fldChar w:fldCharType="end"/>
        </w:r>
      </w:hyperlink>
    </w:p>
    <w:p>
      <w:pPr>
        <w:pStyle w:val="TOC3"/>
        <w:tabs>
          <w:tab w:val="right" w:leader="dot" w:pos="9072"/>
        </w:tabs>
      </w:pPr>
      <w:hyperlink w:anchor="_LarkToc00162" w:history="1">
        <w:r>
          <w:t>附件24-1　图纸会审与设计交底记录表</w:t>
        </w:r>
        <w:r>
          <w:tab/>
        </w:r>
        <w:r>
          <w:fldChar w:fldCharType="begin"/>
        </w:r>
        <w:r>
          <w:instrText xml:space="preserve"> PAGEREF _LarkToc00162 \h </w:instrText>
        </w:r>
        <w:r>
          <w:fldChar w:fldCharType="separate"/>
        </w:r>
        <w:r>
          <w:t>228</w:t>
        </w:r>
        <w:r>
          <w:fldChar w:fldCharType="end"/>
        </w:r>
      </w:hyperlink>
    </w:p>
    <w:p>
      <w:pPr>
        <w:pStyle w:val="TOC3"/>
        <w:tabs>
          <w:tab w:val="right" w:leader="dot" w:pos="9072"/>
        </w:tabs>
      </w:pPr>
      <w:hyperlink w:anchor="_LarkToc00163" w:history="1">
        <w:r>
          <w:t>附件24-2　技术方案管理总台账（施组/专项/危大/专家论证状态）</w:t>
        </w:r>
        <w:r>
          <w:tab/>
        </w:r>
        <w:r>
          <w:fldChar w:fldCharType="begin"/>
        </w:r>
        <w:r>
          <w:instrText xml:space="preserve"> PAGEREF _LarkToc00163 \h </w:instrText>
        </w:r>
        <w:r>
          <w:fldChar w:fldCharType="separate"/>
        </w:r>
        <w:r>
          <w:t>229</w:t>
        </w:r>
        <w:r>
          <w:fldChar w:fldCharType="end"/>
        </w:r>
      </w:hyperlink>
    </w:p>
    <w:p>
      <w:pPr>
        <w:pStyle w:val="TOC3"/>
        <w:tabs>
          <w:tab w:val="right" w:leader="dot" w:pos="9072"/>
        </w:tabs>
      </w:pPr>
      <w:hyperlink w:anchor="_LarkToc00164" w:history="1">
        <w:r>
          <w:t>附件24-3　三级技术交底记录表（项目→班组→作业人员）</w:t>
        </w:r>
        <w:r>
          <w:tab/>
        </w:r>
        <w:r>
          <w:fldChar w:fldCharType="begin"/>
        </w:r>
        <w:r>
          <w:instrText xml:space="preserve"> PAGEREF _LarkToc00164 \h </w:instrText>
        </w:r>
        <w:r>
          <w:fldChar w:fldCharType="separate"/>
        </w:r>
        <w:r>
          <w:t>230</w:t>
        </w:r>
        <w:r>
          <w:fldChar w:fldCharType="end"/>
        </w:r>
      </w:hyperlink>
    </w:p>
    <w:p>
      <w:pPr>
        <w:pStyle w:val="TOC3"/>
        <w:tabs>
          <w:tab w:val="right" w:leader="dot" w:pos="9072"/>
        </w:tabs>
      </w:pPr>
      <w:hyperlink w:anchor="_LarkToc00165" w:history="1">
        <w:r>
          <w:t>附件24-4　技术核定单/设计变更技术联系单（技术口径）</w:t>
        </w:r>
        <w:r>
          <w:tab/>
        </w:r>
        <w:r>
          <w:fldChar w:fldCharType="begin"/>
        </w:r>
        <w:r>
          <w:instrText xml:space="preserve"> PAGEREF _LarkToc00165 \h </w:instrText>
        </w:r>
        <w:r>
          <w:fldChar w:fldCharType="separate"/>
        </w:r>
        <w:r>
          <w:t>231</w:t>
        </w:r>
        <w:r>
          <w:fldChar w:fldCharType="end"/>
        </w:r>
      </w:hyperlink>
    </w:p>
    <w:p>
      <w:pPr>
        <w:pStyle w:val="TOC3"/>
        <w:tabs>
          <w:tab w:val="right" w:leader="dot" w:pos="9072"/>
        </w:tabs>
      </w:pPr>
      <w:hyperlink w:anchor="_LarkToc00166" w:history="1">
        <w:r>
          <w:t>附件24-5　测量放线复核记录与计量器具台账</w:t>
        </w:r>
        <w:r>
          <w:tab/>
        </w:r>
        <w:r>
          <w:fldChar w:fldCharType="begin"/>
        </w:r>
        <w:r>
          <w:instrText xml:space="preserve"> PAGEREF _LarkToc00166 \h </w:instrText>
        </w:r>
        <w:r>
          <w:fldChar w:fldCharType="separate"/>
        </w:r>
        <w:r>
          <w:t>232</w:t>
        </w:r>
        <w:r>
          <w:fldChar w:fldCharType="end"/>
        </w:r>
      </w:hyperlink>
    </w:p>
    <w:p>
      <w:pPr>
        <w:pStyle w:val="TOC3"/>
        <w:tabs>
          <w:tab w:val="right" w:leader="dot" w:pos="9072"/>
        </w:tabs>
      </w:pPr>
      <w:hyperlink w:anchor="_LarkToc00167" w:history="1">
        <w:r>
          <w:t>附件24-6　施工试验与检验计划、见证取样送检台账</w:t>
        </w:r>
        <w:r>
          <w:tab/>
        </w:r>
        <w:r>
          <w:fldChar w:fldCharType="begin"/>
        </w:r>
        <w:r>
          <w:instrText xml:space="preserve"> PAGEREF _LarkToc00167 \h </w:instrText>
        </w:r>
        <w:r>
          <w:fldChar w:fldCharType="separate"/>
        </w:r>
        <w:r>
          <w:t>233</w:t>
        </w:r>
        <w:r>
          <w:fldChar w:fldCharType="end"/>
        </w:r>
      </w:hyperlink>
    </w:p>
    <w:p>
      <w:pPr>
        <w:pStyle w:val="TOC3"/>
        <w:tabs>
          <w:tab w:val="right" w:leader="dot" w:pos="9072"/>
        </w:tabs>
      </w:pPr>
      <w:hyperlink w:anchor="_LarkToc00168" w:history="1">
        <w:r>
          <w:t>附件24-7　四新技术（新技术/新工艺/新材料/新设备）应用申报与评估表</w:t>
        </w:r>
        <w:r>
          <w:tab/>
        </w:r>
        <w:r>
          <w:fldChar w:fldCharType="begin"/>
        </w:r>
        <w:r>
          <w:instrText xml:space="preserve"> PAGEREF _LarkToc00168 \h </w:instrText>
        </w:r>
        <w:r>
          <w:fldChar w:fldCharType="separate"/>
        </w:r>
        <w:r>
          <w:t>234</w:t>
        </w:r>
        <w:r>
          <w:fldChar w:fldCharType="end"/>
        </w:r>
      </w:hyperlink>
    </w:p>
    <w:p>
      <w:pPr>
        <w:pStyle w:val="TOC3"/>
        <w:tabs>
          <w:tab w:val="right" w:leader="dot" w:pos="9072"/>
        </w:tabs>
      </w:pPr>
      <w:hyperlink w:anchor="_LarkToc00169" w:history="1">
        <w:r>
          <w:t>附件24-8　技术疑难问题处理联系单台账</w:t>
        </w:r>
        <w:r>
          <w:tab/>
        </w:r>
        <w:r>
          <w:fldChar w:fldCharType="begin"/>
        </w:r>
        <w:r>
          <w:instrText xml:space="preserve"> PAGEREF _LarkToc00169 \h </w:instrText>
        </w:r>
        <w:r>
          <w:fldChar w:fldCharType="separate"/>
        </w:r>
        <w:r>
          <w:t>235</w:t>
        </w:r>
        <w:r>
          <w:fldChar w:fldCharType="end"/>
        </w:r>
      </w:hyperlink>
    </w:p>
    <w:p>
      <w:pPr>
        <w:pStyle w:val="TOC3"/>
        <w:tabs>
          <w:tab w:val="right" w:leader="dot" w:pos="9072"/>
        </w:tabs>
      </w:pPr>
      <w:hyperlink w:anchor="_LarkToc00170" w:history="1">
        <w:r>
          <w:t>附件25-1　项目质量计划与质量责任分解表</w:t>
        </w:r>
        <w:r>
          <w:tab/>
        </w:r>
        <w:r>
          <w:fldChar w:fldCharType="begin"/>
        </w:r>
        <w:r>
          <w:instrText xml:space="preserve"> PAGEREF _LarkToc00170 \h </w:instrText>
        </w:r>
        <w:r>
          <w:fldChar w:fldCharType="separate"/>
        </w:r>
        <w:r>
          <w:t>240</w:t>
        </w:r>
        <w:r>
          <w:fldChar w:fldCharType="end"/>
        </w:r>
      </w:hyperlink>
    </w:p>
    <w:p>
      <w:pPr>
        <w:pStyle w:val="TOC3"/>
        <w:tabs>
          <w:tab w:val="right" w:leader="dot" w:pos="9072"/>
        </w:tabs>
      </w:pPr>
      <w:hyperlink w:anchor="_LarkToc00171" w:history="1">
        <w:r>
          <w:t>附件25-2　检验批/分项/分部/单位工程验收划分表</w:t>
        </w:r>
        <w:r>
          <w:tab/>
        </w:r>
        <w:r>
          <w:fldChar w:fldCharType="begin"/>
        </w:r>
        <w:r>
          <w:instrText xml:space="preserve"> PAGEREF _LarkToc00171 \h </w:instrText>
        </w:r>
        <w:r>
          <w:fldChar w:fldCharType="separate"/>
        </w:r>
        <w:r>
          <w:t>241</w:t>
        </w:r>
        <w:r>
          <w:fldChar w:fldCharType="end"/>
        </w:r>
      </w:hyperlink>
    </w:p>
    <w:p>
      <w:pPr>
        <w:pStyle w:val="TOC3"/>
        <w:tabs>
          <w:tab w:val="right" w:leader="dot" w:pos="9072"/>
        </w:tabs>
      </w:pPr>
      <w:hyperlink w:anchor="_LarkToc00172" w:history="1">
        <w:r>
          <w:t>附件25-3　样板引路实施计划与样板验收记录</w:t>
        </w:r>
        <w:r>
          <w:tab/>
        </w:r>
        <w:r>
          <w:fldChar w:fldCharType="begin"/>
        </w:r>
        <w:r>
          <w:instrText xml:space="preserve"> PAGEREF _LarkToc00172 \h </w:instrText>
        </w:r>
        <w:r>
          <w:fldChar w:fldCharType="separate"/>
        </w:r>
        <w:r>
          <w:t>242</w:t>
        </w:r>
        <w:r>
          <w:fldChar w:fldCharType="end"/>
        </w:r>
      </w:hyperlink>
    </w:p>
    <w:p>
      <w:pPr>
        <w:pStyle w:val="TOC3"/>
        <w:tabs>
          <w:tab w:val="right" w:leader="dot" w:pos="9072"/>
        </w:tabs>
      </w:pPr>
      <w:hyperlink w:anchor="_LarkToc00173" w:history="1">
        <w:r>
          <w:t>附件25-4　实测实量记录表（含常见允许偏差）</w:t>
        </w:r>
        <w:r>
          <w:tab/>
        </w:r>
        <w:r>
          <w:fldChar w:fldCharType="begin"/>
        </w:r>
        <w:r>
          <w:instrText xml:space="preserve"> PAGEREF _LarkToc00173 \h </w:instrText>
        </w:r>
        <w:r>
          <w:fldChar w:fldCharType="separate"/>
        </w:r>
        <w:r>
          <w:t>243</w:t>
        </w:r>
        <w:r>
          <w:fldChar w:fldCharType="end"/>
        </w:r>
      </w:hyperlink>
    </w:p>
    <w:p>
      <w:pPr>
        <w:pStyle w:val="TOC3"/>
        <w:tabs>
          <w:tab w:val="right" w:leader="dot" w:pos="9072"/>
        </w:tabs>
      </w:pPr>
      <w:hyperlink w:anchor="_LarkToc00174" w:history="1">
        <w:r>
          <w:t>附件25-5　质量通病防治措施清单（钢筋/混凝土/砌体/抹灰/防水/安装，分专业）</w:t>
        </w:r>
        <w:r>
          <w:tab/>
        </w:r>
        <w:r>
          <w:fldChar w:fldCharType="begin"/>
        </w:r>
        <w:r>
          <w:instrText xml:space="preserve"> PAGEREF _LarkToc00174 \h </w:instrText>
        </w:r>
        <w:r>
          <w:fldChar w:fldCharType="separate"/>
        </w:r>
        <w:r>
          <w:t>244</w:t>
        </w:r>
        <w:r>
          <w:fldChar w:fldCharType="end"/>
        </w:r>
      </w:hyperlink>
    </w:p>
    <w:p>
      <w:pPr>
        <w:pStyle w:val="TOC3"/>
        <w:tabs>
          <w:tab w:val="right" w:leader="dot" w:pos="9072"/>
        </w:tabs>
      </w:pPr>
      <w:hyperlink w:anchor="_LarkToc00175" w:history="1">
        <w:r>
          <w:t>附件25-6　原材料构配件进场验收与见证取样台账</w:t>
        </w:r>
        <w:r>
          <w:tab/>
        </w:r>
        <w:r>
          <w:fldChar w:fldCharType="begin"/>
        </w:r>
        <w:r>
          <w:instrText xml:space="preserve"> PAGEREF _LarkToc00175 \h </w:instrText>
        </w:r>
        <w:r>
          <w:fldChar w:fldCharType="separate"/>
        </w:r>
        <w:r>
          <w:t>245</w:t>
        </w:r>
        <w:r>
          <w:fldChar w:fldCharType="end"/>
        </w:r>
      </w:hyperlink>
    </w:p>
    <w:p>
      <w:pPr>
        <w:pStyle w:val="TOC3"/>
        <w:tabs>
          <w:tab w:val="right" w:leader="dot" w:pos="9072"/>
        </w:tabs>
      </w:pPr>
      <w:hyperlink w:anchor="_LarkToc00176" w:history="1">
        <w:r>
          <w:t>附件25-7　质量问题整改通知单与质量事故处理报告表</w:t>
        </w:r>
        <w:r>
          <w:tab/>
        </w:r>
        <w:r>
          <w:fldChar w:fldCharType="begin"/>
        </w:r>
        <w:r>
          <w:instrText xml:space="preserve"> PAGEREF _LarkToc00176 \h </w:instrText>
        </w:r>
        <w:r>
          <w:fldChar w:fldCharType="separate"/>
        </w:r>
        <w:r>
          <w:t>246</w:t>
        </w:r>
        <w:r>
          <w:fldChar w:fldCharType="end"/>
        </w:r>
      </w:hyperlink>
    </w:p>
    <w:p>
      <w:pPr>
        <w:pStyle w:val="TOC3"/>
        <w:tabs>
          <w:tab w:val="right" w:leader="dot" w:pos="9072"/>
        </w:tabs>
      </w:pPr>
      <w:hyperlink w:anchor="_LarkToc00177" w:history="1">
        <w:r>
          <w:t>附件25-8　工程创优策划与自评对照表（创优目标、做法、资料、节点）</w:t>
        </w:r>
        <w:r>
          <w:tab/>
        </w:r>
        <w:r>
          <w:fldChar w:fldCharType="begin"/>
        </w:r>
        <w:r>
          <w:instrText xml:space="preserve"> PAGEREF _LarkToc00177 \h </w:instrText>
        </w:r>
        <w:r>
          <w:fldChar w:fldCharType="separate"/>
        </w:r>
        <w:r>
          <w:t>247</w:t>
        </w:r>
        <w:r>
          <w:fldChar w:fldCharType="end"/>
        </w:r>
      </w:hyperlink>
    </w:p>
    <w:p>
      <w:pPr>
        <w:pStyle w:val="TOC3"/>
        <w:tabs>
          <w:tab w:val="right" w:leader="dot" w:pos="9072"/>
        </w:tabs>
      </w:pPr>
      <w:hyperlink w:anchor="_LarkToc00178" w:history="1">
        <w:r>
          <w:t>附件25-9　质量例会与质量检查考核表</w:t>
        </w:r>
        <w:r>
          <w:tab/>
        </w:r>
        <w:r>
          <w:fldChar w:fldCharType="begin"/>
        </w:r>
        <w:r>
          <w:instrText xml:space="preserve"> PAGEREF _LarkToc00178 \h </w:instrText>
        </w:r>
        <w:r>
          <w:fldChar w:fldCharType="separate"/>
        </w:r>
        <w:r>
          <w:t>248</w:t>
        </w:r>
        <w:r>
          <w:fldChar w:fldCharType="end"/>
        </w:r>
      </w:hyperlink>
    </w:p>
    <w:p>
      <w:pPr>
        <w:pStyle w:val="TOC3"/>
        <w:tabs>
          <w:tab w:val="right" w:leader="dot" w:pos="9072"/>
        </w:tabs>
      </w:pPr>
      <w:hyperlink w:anchor="_LarkToc00179" w:history="1">
        <w:r>
          <w:t>附件26-1　供应商准入评审与合格供方名录、年度评价表</w:t>
        </w:r>
        <w:r>
          <w:tab/>
        </w:r>
        <w:r>
          <w:fldChar w:fldCharType="begin"/>
        </w:r>
        <w:r>
          <w:instrText xml:space="preserve"> PAGEREF _LarkToc00179 \h </w:instrText>
        </w:r>
        <w:r>
          <w:fldChar w:fldCharType="separate"/>
        </w:r>
        <w:r>
          <w:t>252</w:t>
        </w:r>
        <w:r>
          <w:fldChar w:fldCharType="end"/>
        </w:r>
      </w:hyperlink>
    </w:p>
    <w:p>
      <w:pPr>
        <w:pStyle w:val="TOC3"/>
        <w:tabs>
          <w:tab w:val="right" w:leader="dot" w:pos="9072"/>
        </w:tabs>
      </w:pPr>
      <w:hyperlink w:anchor="_LarkToc00180" w:history="1">
        <w:r>
          <w:t>附件26-2　材料采购招标/询比价审批表</w:t>
        </w:r>
        <w:r>
          <w:tab/>
        </w:r>
        <w:r>
          <w:fldChar w:fldCharType="begin"/>
        </w:r>
        <w:r>
          <w:instrText xml:space="preserve"> PAGEREF _LarkToc00180 \h </w:instrText>
        </w:r>
        <w:r>
          <w:fldChar w:fldCharType="separate"/>
        </w:r>
        <w:r>
          <w:t>253</w:t>
        </w:r>
        <w:r>
          <w:fldChar w:fldCharType="end"/>
        </w:r>
      </w:hyperlink>
    </w:p>
    <w:p>
      <w:pPr>
        <w:pStyle w:val="TOC3"/>
        <w:tabs>
          <w:tab w:val="right" w:leader="dot" w:pos="9072"/>
        </w:tabs>
      </w:pPr>
      <w:hyperlink w:anchor="_LarkToc00181" w:history="1">
        <w:r>
          <w:t>附件26-3　物资采购合同关键条款核查表</w:t>
        </w:r>
        <w:r>
          <w:tab/>
        </w:r>
        <w:r>
          <w:fldChar w:fldCharType="begin"/>
        </w:r>
        <w:r>
          <w:instrText xml:space="preserve"> PAGEREF _LarkToc00181 \h </w:instrText>
        </w:r>
        <w:r>
          <w:fldChar w:fldCharType="separate"/>
        </w:r>
        <w:r>
          <w:t>254</w:t>
        </w:r>
        <w:r>
          <w:fldChar w:fldCharType="end"/>
        </w:r>
      </w:hyperlink>
    </w:p>
    <w:p>
      <w:pPr>
        <w:pStyle w:val="TOC3"/>
        <w:tabs>
          <w:tab w:val="right" w:leader="dot" w:pos="9072"/>
        </w:tabs>
      </w:pPr>
      <w:hyperlink w:anchor="_LarkToc00182" w:history="1">
        <w:r>
          <w:t>附件26-4　材料/构配件/设备进场验收与报验单</w:t>
        </w:r>
        <w:r>
          <w:tab/>
        </w:r>
        <w:r>
          <w:fldChar w:fldCharType="begin"/>
        </w:r>
        <w:r>
          <w:instrText xml:space="preserve"> PAGEREF _LarkToc00182 \h </w:instrText>
        </w:r>
        <w:r>
          <w:fldChar w:fldCharType="separate"/>
        </w:r>
        <w:r>
          <w:t>255</w:t>
        </w:r>
        <w:r>
          <w:fldChar w:fldCharType="end"/>
        </w:r>
      </w:hyperlink>
    </w:p>
    <w:p>
      <w:pPr>
        <w:pStyle w:val="TOC3"/>
        <w:tabs>
          <w:tab w:val="right" w:leader="dot" w:pos="9072"/>
        </w:tabs>
      </w:pPr>
      <w:hyperlink w:anchor="_LarkToc00183" w:history="1">
        <w:r>
          <w:t>附件26-5　材料仓储台账（收发存与月度盘点，与限额领料衔接）</w:t>
        </w:r>
        <w:r>
          <w:tab/>
        </w:r>
        <w:r>
          <w:fldChar w:fldCharType="begin"/>
        </w:r>
        <w:r>
          <w:instrText xml:space="preserve"> PAGEREF _LarkToc00183 \h </w:instrText>
        </w:r>
        <w:r>
          <w:fldChar w:fldCharType="separate"/>
        </w:r>
        <w:r>
          <w:t>256</w:t>
        </w:r>
        <w:r>
          <w:fldChar w:fldCharType="end"/>
        </w:r>
      </w:hyperlink>
    </w:p>
    <w:p>
      <w:pPr>
        <w:pStyle w:val="TOC3"/>
        <w:tabs>
          <w:tab w:val="right" w:leader="dot" w:pos="9072"/>
        </w:tabs>
      </w:pPr>
      <w:hyperlink w:anchor="_LarkToc00184" w:history="1">
        <w:r>
          <w:t>附件26-6　周转材料进退场与摊销、损耗计算表</w:t>
        </w:r>
        <w:r>
          <w:tab/>
        </w:r>
        <w:r>
          <w:fldChar w:fldCharType="begin"/>
        </w:r>
        <w:r>
          <w:instrText xml:space="preserve"> PAGEREF _LarkToc00184 \h </w:instrText>
        </w:r>
        <w:r>
          <w:fldChar w:fldCharType="separate"/>
        </w:r>
        <w:r>
          <w:t>257</w:t>
        </w:r>
        <w:r>
          <w:fldChar w:fldCharType="end"/>
        </w:r>
      </w:hyperlink>
    </w:p>
    <w:p>
      <w:pPr>
        <w:pStyle w:val="TOC3"/>
        <w:tabs>
          <w:tab w:val="right" w:leader="dot" w:pos="9072"/>
        </w:tabs>
      </w:pPr>
      <w:hyperlink w:anchor="_LarkToc00185" w:history="1">
        <w:r>
          <w:t>附件26-7　甲供材料/设备需求计划与领用台账</w:t>
        </w:r>
        <w:r>
          <w:tab/>
        </w:r>
        <w:r>
          <w:fldChar w:fldCharType="begin"/>
        </w:r>
        <w:r>
          <w:instrText xml:space="preserve"> PAGEREF _LarkToc00185 \h </w:instrText>
        </w:r>
        <w:r>
          <w:fldChar w:fldCharType="separate"/>
        </w:r>
        <w:r>
          <w:t>258</w:t>
        </w:r>
        <w:r>
          <w:fldChar w:fldCharType="end"/>
        </w:r>
      </w:hyperlink>
    </w:p>
    <w:p>
      <w:pPr>
        <w:pStyle w:val="TOC3"/>
        <w:tabs>
          <w:tab w:val="right" w:leader="dot" w:pos="9072"/>
        </w:tabs>
      </w:pPr>
      <w:hyperlink w:anchor="_LarkToc00186" w:history="1">
        <w:r>
          <w:t>附件26-8　不合格材料标识、隔离、退场与追溯表</w:t>
        </w:r>
        <w:r>
          <w:tab/>
        </w:r>
        <w:r>
          <w:fldChar w:fldCharType="begin"/>
        </w:r>
        <w:r>
          <w:instrText xml:space="preserve"> PAGEREF _LarkToc00186 \h </w:instrText>
        </w:r>
        <w:r>
          <w:fldChar w:fldCharType="separate"/>
        </w:r>
        <w:r>
          <w:t>259</w:t>
        </w:r>
        <w:r>
          <w:fldChar w:fldCharType="end"/>
        </w:r>
      </w:hyperlink>
    </w:p>
    <w:p>
      <w:pPr>
        <w:pStyle w:val="TOC3"/>
        <w:tabs>
          <w:tab w:val="right" w:leader="dot" w:pos="9072"/>
        </w:tabs>
      </w:pPr>
      <w:hyperlink w:anchor="_LarkToc00187" w:history="1">
        <w:r>
          <w:t>附件27-1　机械设备配置计划与进退场台账</w:t>
        </w:r>
        <w:r>
          <w:tab/>
        </w:r>
        <w:r>
          <w:fldChar w:fldCharType="begin"/>
        </w:r>
        <w:r>
          <w:instrText xml:space="preserve"> PAGEREF _LarkToc00187 \h </w:instrText>
        </w:r>
        <w:r>
          <w:fldChar w:fldCharType="separate"/>
        </w:r>
        <w:r>
          <w:t>263</w:t>
        </w:r>
        <w:r>
          <w:fldChar w:fldCharType="end"/>
        </w:r>
      </w:hyperlink>
    </w:p>
    <w:p>
      <w:pPr>
        <w:pStyle w:val="TOC3"/>
        <w:tabs>
          <w:tab w:val="right" w:leader="dot" w:pos="9072"/>
        </w:tabs>
      </w:pPr>
      <w:hyperlink w:anchor="_LarkToc00188" w:history="1">
        <w:r>
          <w:t>附件27-2　大型机械（塔吊/施工升降机/附着式升降脚手架）产权备案、安拆告知与检测验收表</w:t>
        </w:r>
        <w:r>
          <w:tab/>
        </w:r>
        <w:r>
          <w:fldChar w:fldCharType="begin"/>
        </w:r>
        <w:r>
          <w:instrText xml:space="preserve"> PAGEREF _LarkToc00188 \h </w:instrText>
        </w:r>
        <w:r>
          <w:fldChar w:fldCharType="separate"/>
        </w:r>
        <w:r>
          <w:t>264</w:t>
        </w:r>
        <w:r>
          <w:fldChar w:fldCharType="end"/>
        </w:r>
      </w:hyperlink>
    </w:p>
    <w:p>
      <w:pPr>
        <w:pStyle w:val="TOC3"/>
        <w:tabs>
          <w:tab w:val="right" w:leader="dot" w:pos="9072"/>
        </w:tabs>
      </w:pPr>
      <w:hyperlink w:anchor="_LarkToc00189" w:history="1">
        <w:r>
          <w:t>附件27-3　特种设备与特种作业人员持证台账</w:t>
        </w:r>
        <w:r>
          <w:tab/>
        </w:r>
        <w:r>
          <w:fldChar w:fldCharType="begin"/>
        </w:r>
        <w:r>
          <w:instrText xml:space="preserve"> PAGEREF _LarkToc00189 \h </w:instrText>
        </w:r>
        <w:r>
          <w:fldChar w:fldCharType="separate"/>
        </w:r>
        <w:r>
          <w:t>265</w:t>
        </w:r>
        <w:r>
          <w:fldChar w:fldCharType="end"/>
        </w:r>
      </w:hyperlink>
    </w:p>
    <w:p>
      <w:pPr>
        <w:pStyle w:val="TOC3"/>
        <w:tabs>
          <w:tab w:val="right" w:leader="dot" w:pos="9072"/>
        </w:tabs>
      </w:pPr>
      <w:hyperlink w:anchor="_LarkToc00190" w:history="1">
        <w:r>
          <w:t>附件27-4　机械设备日常点检、维保与运行（台班）记录</w:t>
        </w:r>
        <w:r>
          <w:tab/>
        </w:r>
        <w:r>
          <w:fldChar w:fldCharType="begin"/>
        </w:r>
        <w:r>
          <w:instrText xml:space="preserve"> PAGEREF _LarkToc00190 \h </w:instrText>
        </w:r>
        <w:r>
          <w:fldChar w:fldCharType="separate"/>
        </w:r>
        <w:r>
          <w:t>266</w:t>
        </w:r>
        <w:r>
          <w:fldChar w:fldCharType="end"/>
        </w:r>
      </w:hyperlink>
    </w:p>
    <w:p>
      <w:pPr>
        <w:pStyle w:val="TOC3"/>
        <w:tabs>
          <w:tab w:val="right" w:leader="dot" w:pos="9072"/>
        </w:tabs>
      </w:pPr>
      <w:hyperlink w:anchor="_LarkToc00191" w:history="1">
        <w:r>
          <w:t>附件27-5　租赁机械合同与安全管理协议核查表</w:t>
        </w:r>
        <w:r>
          <w:tab/>
        </w:r>
        <w:r>
          <w:fldChar w:fldCharType="begin"/>
        </w:r>
        <w:r>
          <w:instrText xml:space="preserve"> PAGEREF _LarkToc00191 \h </w:instrText>
        </w:r>
        <w:r>
          <w:fldChar w:fldCharType="separate"/>
        </w:r>
        <w:r>
          <w:t>268</w:t>
        </w:r>
        <w:r>
          <w:fldChar w:fldCharType="end"/>
        </w:r>
      </w:hyperlink>
    </w:p>
    <w:p>
      <w:pPr>
        <w:pStyle w:val="TOC3"/>
        <w:tabs>
          <w:tab w:val="right" w:leader="dot" w:pos="9072"/>
        </w:tabs>
      </w:pPr>
      <w:hyperlink w:anchor="_LarkToc00192" w:history="1">
        <w:r>
          <w:t>附件27-6　机械安全装置、限位与保险检查确认表</w:t>
        </w:r>
        <w:r>
          <w:tab/>
        </w:r>
        <w:r>
          <w:fldChar w:fldCharType="begin"/>
        </w:r>
        <w:r>
          <w:instrText xml:space="preserve"> PAGEREF _LarkToc00192 \h </w:instrText>
        </w:r>
        <w:r>
          <w:fldChar w:fldCharType="separate"/>
        </w:r>
        <w:r>
          <w:t>269</w:t>
        </w:r>
        <w:r>
          <w:fldChar w:fldCharType="end"/>
        </w:r>
      </w:hyperlink>
    </w:p>
    <w:p>
      <w:pPr>
        <w:pStyle w:val="TOC3"/>
        <w:tabs>
          <w:tab w:val="right" w:leader="dot" w:pos="9072"/>
        </w:tabs>
      </w:pPr>
      <w:hyperlink w:anchor="_LarkToc00193" w:history="1">
        <w:r>
          <w:t>附件27-7　起重吊装作业审批与安全条件确认表（含“十不吊”）</w:t>
        </w:r>
        <w:r>
          <w:tab/>
        </w:r>
        <w:r>
          <w:fldChar w:fldCharType="begin"/>
        </w:r>
        <w:r>
          <w:instrText xml:space="preserve"> PAGEREF _LarkToc00193 \h </w:instrText>
        </w:r>
        <w:r>
          <w:fldChar w:fldCharType="separate"/>
        </w:r>
        <w:r>
          <w:t>270</w:t>
        </w:r>
        <w:r>
          <w:fldChar w:fldCharType="end"/>
        </w:r>
      </w:hyperlink>
    </w:p>
    <w:p>
      <w:pPr>
        <w:pStyle w:val="TOC3"/>
        <w:tabs>
          <w:tab w:val="right" w:leader="dot" w:pos="9072"/>
        </w:tabs>
      </w:pPr>
      <w:hyperlink w:anchor="_LarkToc00194" w:history="1">
        <w:r>
          <w:t>附件28-1　专业/劳务分包商资质审查与准入登记表</w:t>
        </w:r>
        <w:r>
          <w:tab/>
        </w:r>
        <w:r>
          <w:fldChar w:fldCharType="begin"/>
        </w:r>
        <w:r>
          <w:instrText xml:space="preserve"> PAGEREF _LarkToc00194 \h </w:instrText>
        </w:r>
        <w:r>
          <w:fldChar w:fldCharType="separate"/>
        </w:r>
        <w:r>
          <w:t>274</w:t>
        </w:r>
        <w:r>
          <w:fldChar w:fldCharType="end"/>
        </w:r>
      </w:hyperlink>
    </w:p>
    <w:p>
      <w:pPr>
        <w:pStyle w:val="TOC3"/>
        <w:tabs>
          <w:tab w:val="right" w:leader="dot" w:pos="9072"/>
        </w:tabs>
      </w:pPr>
      <w:hyperlink w:anchor="_LarkToc00195" w:history="1">
        <w:r>
          <w:t>附件28-2　分包合同关键条款与安全生产管理协议核查表</w:t>
        </w:r>
        <w:r>
          <w:tab/>
        </w:r>
        <w:r>
          <w:fldChar w:fldCharType="begin"/>
        </w:r>
        <w:r>
          <w:instrText xml:space="preserve"> PAGEREF _LarkToc00195 \h </w:instrText>
        </w:r>
        <w:r>
          <w:fldChar w:fldCharType="separate"/>
        </w:r>
        <w:r>
          <w:t>275</w:t>
        </w:r>
        <w:r>
          <w:fldChar w:fldCharType="end"/>
        </w:r>
      </w:hyperlink>
    </w:p>
    <w:p>
      <w:pPr>
        <w:pStyle w:val="TOC3"/>
        <w:tabs>
          <w:tab w:val="right" w:leader="dot" w:pos="9072"/>
        </w:tabs>
      </w:pPr>
      <w:hyperlink w:anchor="_LarkToc00196" w:history="1">
        <w:r>
          <w:t>附件28-3　分包商履约考核评价表（进度/质量/安全/用工/配合）</w:t>
        </w:r>
        <w:r>
          <w:tab/>
        </w:r>
        <w:r>
          <w:fldChar w:fldCharType="begin"/>
        </w:r>
        <w:r>
          <w:instrText xml:space="preserve"> PAGEREF _LarkToc00196 \h </w:instrText>
        </w:r>
        <w:r>
          <w:fldChar w:fldCharType="separate"/>
        </w:r>
        <w:r>
          <w:t>276</w:t>
        </w:r>
        <w:r>
          <w:fldChar w:fldCharType="end"/>
        </w:r>
      </w:hyperlink>
    </w:p>
    <w:p>
      <w:pPr>
        <w:pStyle w:val="TOC3"/>
        <w:tabs>
          <w:tab w:val="right" w:leader="dot" w:pos="9072"/>
        </w:tabs>
      </w:pPr>
      <w:hyperlink w:anchor="_LarkToc00197" w:history="1">
        <w:r>
          <w:t>附件28-4　劳务实名制花名册与进退场登记表（与工资专户衔接）</w:t>
        </w:r>
        <w:r>
          <w:tab/>
        </w:r>
        <w:r>
          <w:fldChar w:fldCharType="begin"/>
        </w:r>
        <w:r>
          <w:instrText xml:space="preserve"> PAGEREF _LarkToc00197 \h </w:instrText>
        </w:r>
        <w:r>
          <w:fldChar w:fldCharType="separate"/>
        </w:r>
        <w:r>
          <w:t>277</w:t>
        </w:r>
        <w:r>
          <w:fldChar w:fldCharType="end"/>
        </w:r>
      </w:hyperlink>
    </w:p>
    <w:p>
      <w:pPr>
        <w:pStyle w:val="TOC3"/>
        <w:tabs>
          <w:tab w:val="right" w:leader="dot" w:pos="9072"/>
        </w:tabs>
      </w:pPr>
      <w:hyperlink w:anchor="_LarkToc00198" w:history="1">
        <w:r>
          <w:t>附件28-5　分包工程量确认与结算/付款控制表</w:t>
        </w:r>
        <w:r>
          <w:tab/>
        </w:r>
        <w:r>
          <w:fldChar w:fldCharType="begin"/>
        </w:r>
        <w:r>
          <w:instrText xml:space="preserve"> PAGEREF _LarkToc00198 \h </w:instrText>
        </w:r>
        <w:r>
          <w:fldChar w:fldCharType="separate"/>
        </w:r>
        <w:r>
          <w:t>278</w:t>
        </w:r>
        <w:r>
          <w:fldChar w:fldCharType="end"/>
        </w:r>
      </w:hyperlink>
    </w:p>
    <w:p>
      <w:pPr>
        <w:pStyle w:val="TOC3"/>
        <w:tabs>
          <w:tab w:val="right" w:leader="dot" w:pos="9072"/>
        </w:tabs>
      </w:pPr>
      <w:hyperlink w:anchor="_LarkToc00199" w:history="1">
        <w:r>
          <w:t>附件28-6　分包安全质量技术交底与三级教育记录</w:t>
        </w:r>
        <w:r>
          <w:tab/>
        </w:r>
        <w:r>
          <w:fldChar w:fldCharType="begin"/>
        </w:r>
        <w:r>
          <w:instrText xml:space="preserve"> PAGEREF _LarkToc00199 \h </w:instrText>
        </w:r>
        <w:r>
          <w:fldChar w:fldCharType="separate"/>
        </w:r>
        <w:r>
          <w:t>279</w:t>
        </w:r>
        <w:r>
          <w:fldChar w:fldCharType="end"/>
        </w:r>
      </w:hyperlink>
    </w:p>
    <w:p>
      <w:pPr>
        <w:pStyle w:val="TOC3"/>
        <w:tabs>
          <w:tab w:val="right" w:leader="dot" w:pos="9072"/>
        </w:tabs>
      </w:pPr>
      <w:hyperlink w:anchor="_LarkToc00200" w:history="1">
        <w:r>
          <w:t>附件28-7　班组建设、技能培训与维权信息告知表</w:t>
        </w:r>
        <w:r>
          <w:tab/>
        </w:r>
        <w:r>
          <w:fldChar w:fldCharType="begin"/>
        </w:r>
        <w:r>
          <w:instrText xml:space="preserve"> PAGEREF _LarkToc00200 \h </w:instrText>
        </w:r>
        <w:r>
          <w:fldChar w:fldCharType="separate"/>
        </w:r>
        <w:r>
          <w:t>280</w:t>
        </w:r>
        <w:r>
          <w:fldChar w:fldCharType="end"/>
        </w:r>
      </w:hyperlink>
    </w:p>
    <w:p>
      <w:pPr>
        <w:pStyle w:val="TOC3"/>
        <w:tabs>
          <w:tab w:val="right" w:leader="dot" w:pos="9072"/>
        </w:tabs>
      </w:pPr>
      <w:hyperlink w:anchor="_LarkToc00201" w:history="1">
        <w:r>
          <w:t>附件29-1　项目成本核算科目设置与费用归集表</w:t>
        </w:r>
        <w:r>
          <w:tab/>
        </w:r>
        <w:r>
          <w:fldChar w:fldCharType="begin"/>
        </w:r>
        <w:r>
          <w:instrText xml:space="preserve"> PAGEREF _LarkToc00201 \h </w:instrText>
        </w:r>
        <w:r>
          <w:fldChar w:fldCharType="separate"/>
        </w:r>
        <w:r>
          <w:t>285</w:t>
        </w:r>
        <w:r>
          <w:fldChar w:fldCharType="end"/>
        </w:r>
      </w:hyperlink>
    </w:p>
    <w:p>
      <w:pPr>
        <w:pStyle w:val="TOC3"/>
        <w:tabs>
          <w:tab w:val="right" w:leader="dot" w:pos="9072"/>
        </w:tabs>
      </w:pPr>
      <w:hyperlink w:anchor="_LarkToc00202" w:history="1">
        <w:r>
          <w:t>附件29-2　建造合同收入确认（履约进度）计算表</w:t>
        </w:r>
        <w:r>
          <w:tab/>
        </w:r>
        <w:r>
          <w:fldChar w:fldCharType="begin"/>
        </w:r>
        <w:r>
          <w:instrText xml:space="preserve"> PAGEREF _LarkToc00202 \h </w:instrText>
        </w:r>
        <w:r>
          <w:fldChar w:fldCharType="separate"/>
        </w:r>
        <w:r>
          <w:t>286</w:t>
        </w:r>
        <w:r>
          <w:fldChar w:fldCharType="end"/>
        </w:r>
      </w:hyperlink>
    </w:p>
    <w:p>
      <w:pPr>
        <w:pStyle w:val="TOC3"/>
        <w:tabs>
          <w:tab w:val="right" w:leader="dot" w:pos="9072"/>
        </w:tabs>
      </w:pPr>
      <w:hyperlink w:anchor="_LarkToc00203" w:history="1">
        <w:r>
          <w:t>附件29-3　项目税费测算表（增值税及附加、企业所得税、印花税等）</w:t>
        </w:r>
        <w:r>
          <w:tab/>
        </w:r>
        <w:r>
          <w:fldChar w:fldCharType="begin"/>
        </w:r>
        <w:r>
          <w:instrText xml:space="preserve"> PAGEREF _LarkToc00203 \h </w:instrText>
        </w:r>
        <w:r>
          <w:fldChar w:fldCharType="separate"/>
        </w:r>
        <w:r>
          <w:t>287</w:t>
        </w:r>
        <w:r>
          <w:fldChar w:fldCharType="end"/>
        </w:r>
      </w:hyperlink>
    </w:p>
    <w:p>
      <w:pPr>
        <w:pStyle w:val="TOC3"/>
        <w:tabs>
          <w:tab w:val="right" w:leader="dot" w:pos="9072"/>
        </w:tabs>
      </w:pPr>
      <w:hyperlink w:anchor="_LarkToc00204" w:history="1">
        <w:r>
          <w:t>附件29-4　增值税进项发票管理与抵扣台账（深化，强调四流一致）</w:t>
        </w:r>
        <w:r>
          <w:tab/>
        </w:r>
        <w:r>
          <w:fldChar w:fldCharType="begin"/>
        </w:r>
        <w:r>
          <w:instrText xml:space="preserve"> PAGEREF _LarkToc00204 \h </w:instrText>
        </w:r>
        <w:r>
          <w:fldChar w:fldCharType="separate"/>
        </w:r>
        <w:r>
          <w:t>288</w:t>
        </w:r>
        <w:r>
          <w:fldChar w:fldCharType="end"/>
        </w:r>
      </w:hyperlink>
    </w:p>
    <w:p>
      <w:pPr>
        <w:pStyle w:val="TOC3"/>
        <w:tabs>
          <w:tab w:val="right" w:leader="dot" w:pos="9072"/>
        </w:tabs>
      </w:pPr>
      <w:hyperlink w:anchor="_LarkToc00205" w:history="1">
        <w:r>
          <w:t>附件29-5　跨地区（异地）项目税款预缴与涉税事项报告台账</w:t>
        </w:r>
        <w:r>
          <w:tab/>
        </w:r>
        <w:r>
          <w:fldChar w:fldCharType="begin"/>
        </w:r>
        <w:r>
          <w:instrText xml:space="preserve"> PAGEREF _LarkToc00205 \h </w:instrText>
        </w:r>
        <w:r>
          <w:fldChar w:fldCharType="separate"/>
        </w:r>
        <w:r>
          <w:t>289</w:t>
        </w:r>
        <w:r>
          <w:fldChar w:fldCharType="end"/>
        </w:r>
      </w:hyperlink>
    </w:p>
    <w:p>
      <w:pPr>
        <w:pStyle w:val="TOC3"/>
        <w:tabs>
          <w:tab w:val="right" w:leader="dot" w:pos="9072"/>
        </w:tabs>
      </w:pPr>
      <w:hyperlink w:anchor="_LarkToc00206" w:history="1">
        <w:r>
          <w:t>附件29-6　银行保函、保证金与授信额度管理台账</w:t>
        </w:r>
        <w:r>
          <w:tab/>
        </w:r>
        <w:r>
          <w:fldChar w:fldCharType="begin"/>
        </w:r>
        <w:r>
          <w:instrText xml:space="preserve"> PAGEREF _LarkToc00206 \h </w:instrText>
        </w:r>
        <w:r>
          <w:fldChar w:fldCharType="separate"/>
        </w:r>
        <w:r>
          <w:t>290</w:t>
        </w:r>
        <w:r>
          <w:fldChar w:fldCharType="end"/>
        </w:r>
      </w:hyperlink>
    </w:p>
    <w:p>
      <w:pPr>
        <w:pStyle w:val="TOC3"/>
        <w:tabs>
          <w:tab w:val="right" w:leader="dot" w:pos="9072"/>
        </w:tabs>
      </w:pPr>
      <w:hyperlink w:anchor="_LarkToc00207" w:history="1">
        <w:r>
          <w:t>附件29-7　“两金”（应收账款、存货/合同资产）压降专项表</w:t>
        </w:r>
        <w:r>
          <w:tab/>
        </w:r>
        <w:r>
          <w:fldChar w:fldCharType="begin"/>
        </w:r>
        <w:r>
          <w:instrText xml:space="preserve"> PAGEREF _LarkToc00207 \h </w:instrText>
        </w:r>
        <w:r>
          <w:fldChar w:fldCharType="separate"/>
        </w:r>
        <w:r>
          <w:t>291</w:t>
        </w:r>
        <w:r>
          <w:fldChar w:fldCharType="end"/>
        </w:r>
      </w:hyperlink>
    </w:p>
    <w:p>
      <w:pPr>
        <w:pStyle w:val="TOC3"/>
        <w:tabs>
          <w:tab w:val="right" w:leader="dot" w:pos="9072"/>
        </w:tabs>
      </w:pPr>
      <w:hyperlink w:anchor="_LarkToc00208" w:history="1">
        <w:r>
          <w:t>附件29-8　项目财务月度报表与经济活动分析表</w:t>
        </w:r>
        <w:r>
          <w:tab/>
        </w:r>
        <w:r>
          <w:fldChar w:fldCharType="begin"/>
        </w:r>
        <w:r>
          <w:instrText xml:space="preserve"> PAGEREF _LarkToc00208 \h </w:instrText>
        </w:r>
        <w:r>
          <w:fldChar w:fldCharType="separate"/>
        </w:r>
        <w:r>
          <w:t>292</w:t>
        </w:r>
        <w:r>
          <w:fldChar w:fldCharType="end"/>
        </w:r>
      </w:hyperlink>
    </w:p>
    <w:p>
      <w:pPr>
        <w:pStyle w:val="TOC3"/>
        <w:tabs>
          <w:tab w:val="right" w:leader="dot" w:pos="9072"/>
        </w:tabs>
      </w:pPr>
      <w:hyperlink w:anchor="_LarkToc00209" w:history="1">
        <w:r>
          <w:t>附件30-1　法律纠纷（案件）登记与应对台账</w:t>
        </w:r>
        <w:r>
          <w:tab/>
        </w:r>
        <w:r>
          <w:fldChar w:fldCharType="begin"/>
        </w:r>
        <w:r>
          <w:instrText xml:space="preserve"> PAGEREF _LarkToc00209 \h </w:instrText>
        </w:r>
        <w:r>
          <w:fldChar w:fldCharType="separate"/>
        </w:r>
        <w:r>
          <w:t>297</w:t>
        </w:r>
        <w:r>
          <w:fldChar w:fldCharType="end"/>
        </w:r>
      </w:hyperlink>
    </w:p>
    <w:p>
      <w:pPr>
        <w:pStyle w:val="TOC3"/>
        <w:tabs>
          <w:tab w:val="right" w:leader="dot" w:pos="9072"/>
        </w:tabs>
      </w:pPr>
      <w:hyperlink w:anchor="_LarkToc00210" w:history="1">
        <w:r>
          <w:t>附件30-2　诉讼/仲裁时效与证据准备核查清单</w:t>
        </w:r>
        <w:r>
          <w:tab/>
        </w:r>
        <w:r>
          <w:fldChar w:fldCharType="begin"/>
        </w:r>
        <w:r>
          <w:instrText xml:space="preserve"> PAGEREF _LarkToc00210 \h </w:instrText>
        </w:r>
        <w:r>
          <w:fldChar w:fldCharType="separate"/>
        </w:r>
        <w:r>
          <w:t>298</w:t>
        </w:r>
        <w:r>
          <w:fldChar w:fldCharType="end"/>
        </w:r>
      </w:hyperlink>
    </w:p>
    <w:p>
      <w:pPr>
        <w:pStyle w:val="TOC3"/>
        <w:tabs>
          <w:tab w:val="right" w:leader="dot" w:pos="9072"/>
        </w:tabs>
      </w:pPr>
      <w:hyperlink w:anchor="_LarkToc00211" w:history="1">
        <w:r>
          <w:t>附件30-3　财产保全申请与担保财产清单</w:t>
        </w:r>
        <w:r>
          <w:tab/>
        </w:r>
        <w:r>
          <w:fldChar w:fldCharType="begin"/>
        </w:r>
        <w:r>
          <w:instrText xml:space="preserve"> PAGEREF _LarkToc00211 \h </w:instrText>
        </w:r>
        <w:r>
          <w:fldChar w:fldCharType="separate"/>
        </w:r>
        <w:r>
          <w:t>299</w:t>
        </w:r>
        <w:r>
          <w:fldChar w:fldCharType="end"/>
        </w:r>
      </w:hyperlink>
    </w:p>
    <w:p>
      <w:pPr>
        <w:pStyle w:val="TOC3"/>
        <w:tabs>
          <w:tab w:val="right" w:leader="dot" w:pos="9072"/>
        </w:tabs>
      </w:pPr>
      <w:hyperlink w:anchor="_LarkToc00212" w:history="1">
        <w:r>
          <w:t>附件30-4　黑白合同与合同效力风险自查表</w:t>
        </w:r>
        <w:r>
          <w:tab/>
        </w:r>
        <w:r>
          <w:fldChar w:fldCharType="begin"/>
        </w:r>
        <w:r>
          <w:instrText xml:space="preserve"> PAGEREF _LarkToc00212 \h </w:instrText>
        </w:r>
        <w:r>
          <w:fldChar w:fldCharType="separate"/>
        </w:r>
        <w:r>
          <w:t>300</w:t>
        </w:r>
        <w:r>
          <w:fldChar w:fldCharType="end"/>
        </w:r>
      </w:hyperlink>
    </w:p>
    <w:p>
      <w:pPr>
        <w:pStyle w:val="TOC3"/>
        <w:tabs>
          <w:tab w:val="right" w:leader="dot" w:pos="9072"/>
        </w:tabs>
      </w:pPr>
      <w:hyperlink w:anchor="_LarkToc00213" w:history="1">
        <w:r>
          <w:t>附件30-5　实际施工人、表见代理与印章授权风险防控表</w:t>
        </w:r>
        <w:r>
          <w:tab/>
        </w:r>
        <w:r>
          <w:fldChar w:fldCharType="begin"/>
        </w:r>
        <w:r>
          <w:instrText xml:space="preserve"> PAGEREF _LarkToc00213 \h </w:instrText>
        </w:r>
        <w:r>
          <w:fldChar w:fldCharType="separate"/>
        </w:r>
        <w:r>
          <w:t>301</w:t>
        </w:r>
        <w:r>
          <w:fldChar w:fldCharType="end"/>
        </w:r>
      </w:hyperlink>
    </w:p>
    <w:p>
      <w:pPr>
        <w:pStyle w:val="TOC3"/>
        <w:tabs>
          <w:tab w:val="right" w:leader="dot" w:pos="9072"/>
        </w:tabs>
      </w:pPr>
      <w:hyperlink w:anchor="_LarkToc00214" w:history="1">
        <w:r>
          <w:t>附件30-6　以房抵款/债务重组协议要点与风险审查表</w:t>
        </w:r>
        <w:r>
          <w:tab/>
        </w:r>
        <w:r>
          <w:fldChar w:fldCharType="begin"/>
        </w:r>
        <w:r>
          <w:instrText xml:space="preserve"> PAGEREF _LarkToc00214 \h </w:instrText>
        </w:r>
        <w:r>
          <w:fldChar w:fldCharType="separate"/>
        </w:r>
        <w:r>
          <w:t>302</w:t>
        </w:r>
        <w:r>
          <w:fldChar w:fldCharType="end"/>
        </w:r>
      </w:hyperlink>
    </w:p>
    <w:p>
      <w:pPr>
        <w:pStyle w:val="TOC3"/>
        <w:tabs>
          <w:tab w:val="right" w:leader="dot" w:pos="9072"/>
        </w:tabs>
      </w:pPr>
      <w:hyperlink w:anchor="_LarkToc00215" w:history="1">
        <w:r>
          <w:t>附件30-7　被执行人财产线索调查与执行案件跟踪表</w:t>
        </w:r>
        <w:r>
          <w:tab/>
        </w:r>
        <w:r>
          <w:fldChar w:fldCharType="begin"/>
        </w:r>
        <w:r>
          <w:instrText xml:space="preserve"> PAGEREF _LarkToc00215 \h </w:instrText>
        </w:r>
        <w:r>
          <w:fldChar w:fldCharType="separate"/>
        </w:r>
        <w:r>
          <w:t>303</w:t>
        </w:r>
        <w:r>
          <w:fldChar w:fldCharType="end"/>
        </w:r>
      </w:hyperlink>
    </w:p>
    <w:p>
      <w:pPr>
        <w:pStyle w:val="TOC3"/>
        <w:tabs>
          <w:tab w:val="right" w:leader="dot" w:pos="9072"/>
        </w:tabs>
      </w:pPr>
      <w:hyperlink w:anchor="_LarkToc00216" w:history="1">
        <w:r>
          <w:t>附件30-8　破产债权申报与建设工程价款优先权主张表</w:t>
        </w:r>
        <w:r>
          <w:tab/>
        </w:r>
        <w:r>
          <w:fldChar w:fldCharType="begin"/>
        </w:r>
        <w:r>
          <w:instrText xml:space="preserve"> PAGEREF _LarkToc00216 \h </w:instrText>
        </w:r>
        <w:r>
          <w:fldChar w:fldCharType="separate"/>
        </w:r>
        <w:r>
          <w:t>304</w:t>
        </w:r>
        <w:r>
          <w:fldChar w:fldCharType="end"/>
        </w:r>
      </w:hyperlink>
    </w:p>
    <w:p>
      <w:pPr>
        <w:pStyle w:val="TOC3"/>
        <w:tabs>
          <w:tab w:val="right" w:leader="dot" w:pos="9072"/>
        </w:tabs>
      </w:pPr>
      <w:hyperlink w:anchor="_LarkToc00217" w:history="1">
        <w:r>
          <w:t>附件30-9　律师函/催告函/法律意见书模板要点（要素清单）</w:t>
        </w:r>
        <w:r>
          <w:tab/>
        </w:r>
        <w:r>
          <w:fldChar w:fldCharType="begin"/>
        </w:r>
        <w:r>
          <w:instrText xml:space="preserve"> PAGEREF _LarkToc00217 \h </w:instrText>
        </w:r>
        <w:r>
          <w:fldChar w:fldCharType="separate"/>
        </w:r>
        <w:r>
          <w:t>305</w:t>
        </w:r>
        <w:r>
          <w:fldChar w:fldCharType="end"/>
        </w:r>
      </w:hyperlink>
    </w:p>
    <w:p>
      <w:pPr>
        <w:pStyle w:val="TOC3"/>
        <w:tabs>
          <w:tab w:val="right" w:leader="dot" w:pos="9072"/>
        </w:tabs>
      </w:pPr>
      <w:hyperlink w:anchor="_LarkToc00218" w:history="1">
        <w:r>
          <w:t>附件31-1　危大工程专项方案编审与专家论证流程/台账（含超规模判定）</w:t>
        </w:r>
        <w:r>
          <w:tab/>
        </w:r>
        <w:r>
          <w:fldChar w:fldCharType="begin"/>
        </w:r>
        <w:r>
          <w:instrText xml:space="preserve"> PAGEREF _LarkToc00218 \h </w:instrText>
        </w:r>
        <w:r>
          <w:fldChar w:fldCharType="separate"/>
        </w:r>
        <w:r>
          <w:t>310</w:t>
        </w:r>
        <w:r>
          <w:fldChar w:fldCharType="end"/>
        </w:r>
      </w:hyperlink>
    </w:p>
    <w:p>
      <w:pPr>
        <w:pStyle w:val="TOC3"/>
        <w:tabs>
          <w:tab w:val="right" w:leader="dot" w:pos="9072"/>
        </w:tabs>
      </w:pPr>
      <w:hyperlink w:anchor="_LarkToc00219" w:history="1">
        <w:r>
          <w:t>附件31-2　深基坑工程安全专项检查表（支护/降排水/监测/荷载）</w:t>
        </w:r>
        <w:r>
          <w:tab/>
        </w:r>
        <w:r>
          <w:fldChar w:fldCharType="begin"/>
        </w:r>
        <w:r>
          <w:instrText xml:space="preserve"> PAGEREF _LarkToc00219 \h </w:instrText>
        </w:r>
        <w:r>
          <w:fldChar w:fldCharType="separate"/>
        </w:r>
        <w:r>
          <w:t>311</w:t>
        </w:r>
        <w:r>
          <w:fldChar w:fldCharType="end"/>
        </w:r>
      </w:hyperlink>
    </w:p>
    <w:p>
      <w:pPr>
        <w:pStyle w:val="TOC3"/>
        <w:tabs>
          <w:tab w:val="right" w:leader="dot" w:pos="9072"/>
        </w:tabs>
      </w:pPr>
      <w:hyperlink w:anchor="_LarkToc00220" w:history="1">
        <w:r>
          <w:t>附件31-3　脚手架与模板支撑体系（含附着升降脚手架）专项检查表</w:t>
        </w:r>
        <w:r>
          <w:tab/>
        </w:r>
        <w:r>
          <w:fldChar w:fldCharType="begin"/>
        </w:r>
        <w:r>
          <w:instrText xml:space="preserve"> PAGEREF _LarkToc00220 \h </w:instrText>
        </w:r>
        <w:r>
          <w:fldChar w:fldCharType="separate"/>
        </w:r>
        <w:r>
          <w:t>312</w:t>
        </w:r>
        <w:r>
          <w:fldChar w:fldCharType="end"/>
        </w:r>
      </w:hyperlink>
    </w:p>
    <w:p>
      <w:pPr>
        <w:pStyle w:val="TOC3"/>
        <w:tabs>
          <w:tab w:val="right" w:leader="dot" w:pos="9072"/>
        </w:tabs>
      </w:pPr>
      <w:hyperlink w:anchor="_LarkToc00221" w:history="1">
        <w:r>
          <w:t>附件31-4　起重机械与起重吊装安全专项检查表</w:t>
        </w:r>
        <w:r>
          <w:tab/>
        </w:r>
        <w:r>
          <w:fldChar w:fldCharType="begin"/>
        </w:r>
        <w:r>
          <w:instrText xml:space="preserve"> PAGEREF _LarkToc00221 \h </w:instrText>
        </w:r>
        <w:r>
          <w:fldChar w:fldCharType="separate"/>
        </w:r>
        <w:r>
          <w:t>313</w:t>
        </w:r>
        <w:r>
          <w:fldChar w:fldCharType="end"/>
        </w:r>
      </w:hyperlink>
    </w:p>
    <w:p>
      <w:pPr>
        <w:pStyle w:val="TOC3"/>
        <w:tabs>
          <w:tab w:val="right" w:leader="dot" w:pos="9072"/>
        </w:tabs>
      </w:pPr>
      <w:hyperlink w:anchor="_LarkToc00222" w:history="1">
        <w:r>
          <w:t>附件31-5　施工现场临时用电与消防安全专项检查表</w:t>
        </w:r>
        <w:r>
          <w:tab/>
        </w:r>
        <w:r>
          <w:fldChar w:fldCharType="begin"/>
        </w:r>
        <w:r>
          <w:instrText xml:space="preserve"> PAGEREF _LarkToc00222 \h </w:instrText>
        </w:r>
        <w:r>
          <w:fldChar w:fldCharType="separate"/>
        </w:r>
        <w:r>
          <w:t>314</w:t>
        </w:r>
        <w:r>
          <w:fldChar w:fldCharType="end"/>
        </w:r>
      </w:hyperlink>
    </w:p>
    <w:p>
      <w:pPr>
        <w:pStyle w:val="TOC3"/>
        <w:tabs>
          <w:tab w:val="right" w:leader="dot" w:pos="9072"/>
        </w:tabs>
      </w:pPr>
      <w:hyperlink w:anchor="_LarkToc00223" w:history="1">
        <w:r>
          <w:t>附件31-6　有限空间、动火、高处作业审批与监护记录表</w:t>
        </w:r>
        <w:r>
          <w:tab/>
        </w:r>
        <w:r>
          <w:fldChar w:fldCharType="begin"/>
        </w:r>
        <w:r>
          <w:instrText xml:space="preserve"> PAGEREF _LarkToc00223 \h </w:instrText>
        </w:r>
        <w:r>
          <w:fldChar w:fldCharType="separate"/>
        </w:r>
        <w:r>
          <w:t>315</w:t>
        </w:r>
        <w:r>
          <w:fldChar w:fldCharType="end"/>
        </w:r>
      </w:hyperlink>
    </w:p>
    <w:p>
      <w:pPr>
        <w:pStyle w:val="TOC3"/>
        <w:tabs>
          <w:tab w:val="right" w:leader="dot" w:pos="9072"/>
        </w:tabs>
      </w:pPr>
      <w:hyperlink w:anchor="_LarkToc00224" w:history="1">
        <w:r>
          <w:t>附件31-7　职业健康与劳动防护（粉尘/噪声/高温/中毒）管理表</w:t>
        </w:r>
        <w:r>
          <w:tab/>
        </w:r>
        <w:r>
          <w:fldChar w:fldCharType="begin"/>
        </w:r>
        <w:r>
          <w:instrText xml:space="preserve"> PAGEREF _LarkToc00224 \h </w:instrText>
        </w:r>
        <w:r>
          <w:fldChar w:fldCharType="separate"/>
        </w:r>
        <w:r>
          <w:t>316</w:t>
        </w:r>
        <w:r>
          <w:fldChar w:fldCharType="end"/>
        </w:r>
      </w:hyperlink>
    </w:p>
    <w:p>
      <w:pPr>
        <w:pStyle w:val="TOC3"/>
        <w:tabs>
          <w:tab w:val="right" w:leader="dot" w:pos="9072"/>
        </w:tabs>
      </w:pPr>
      <w:hyperlink w:anchor="_LarkToc00225" w:history="1">
        <w:r>
          <w:t>附件31-8　综合应急预案、专项方案、演练记录与应急物资台账</w:t>
        </w:r>
        <w:r>
          <w:tab/>
        </w:r>
        <w:r>
          <w:fldChar w:fldCharType="begin"/>
        </w:r>
        <w:r>
          <w:instrText xml:space="preserve"> PAGEREF _LarkToc00225 \h </w:instrText>
        </w:r>
        <w:r>
          <w:fldChar w:fldCharType="separate"/>
        </w:r>
        <w:r>
          <w:t>317</w:t>
        </w:r>
        <w:r>
          <w:fldChar w:fldCharType="end"/>
        </w:r>
      </w:hyperlink>
    </w:p>
    <w:p>
      <w:pPr>
        <w:pStyle w:val="TOC3"/>
        <w:tabs>
          <w:tab w:val="right" w:leader="dot" w:pos="9072"/>
        </w:tabs>
      </w:pPr>
      <w:hyperlink w:anchor="_LarkToc00226" w:history="1">
        <w:r>
          <w:t>附件31-9　安全教育培训（三级教育/班前/特种作业持证）台账</w:t>
        </w:r>
        <w:r>
          <w:tab/>
        </w:r>
        <w:r>
          <w:fldChar w:fldCharType="begin"/>
        </w:r>
        <w:r>
          <w:instrText xml:space="preserve"> PAGEREF _LarkToc00226 \h </w:instrText>
        </w:r>
        <w:r>
          <w:fldChar w:fldCharType="separate"/>
        </w:r>
        <w:r>
          <w:t>318</w:t>
        </w:r>
        <w:r>
          <w:fldChar w:fldCharType="end"/>
        </w:r>
      </w:hyperlink>
    </w:p>
    <w:p>
      <w:pPr>
        <w:pStyle w:val="TOC3"/>
        <w:tabs>
          <w:tab w:val="right" w:leader="dot" w:pos="9072"/>
        </w:tabs>
      </w:pPr>
      <w:hyperlink w:anchor="_LarkToc00227" w:history="1">
        <w:r>
          <w:t>附件32-1　绿色施工策划与节能节水节材节地指标表</w:t>
        </w:r>
        <w:r>
          <w:tab/>
        </w:r>
        <w:r>
          <w:fldChar w:fldCharType="begin"/>
        </w:r>
        <w:r>
          <w:instrText xml:space="preserve"> PAGEREF _LarkToc00227 \h </w:instrText>
        </w:r>
        <w:r>
          <w:fldChar w:fldCharType="separate"/>
        </w:r>
        <w:r>
          <w:t>322</w:t>
        </w:r>
        <w:r>
          <w:fldChar w:fldCharType="end"/>
        </w:r>
      </w:hyperlink>
    </w:p>
    <w:p>
      <w:pPr>
        <w:pStyle w:val="TOC3"/>
        <w:tabs>
          <w:tab w:val="right" w:leader="dot" w:pos="9072"/>
        </w:tabs>
      </w:pPr>
      <w:hyperlink w:anchor="_LarkToc00228" w:history="1">
        <w:r>
          <w:t>附件32-2　扬尘污染防治“六个百分百”落实检查表</w:t>
        </w:r>
        <w:r>
          <w:tab/>
        </w:r>
        <w:r>
          <w:fldChar w:fldCharType="begin"/>
        </w:r>
        <w:r>
          <w:instrText xml:space="preserve"> PAGEREF _LarkToc00228 \h </w:instrText>
        </w:r>
        <w:r>
          <w:fldChar w:fldCharType="separate"/>
        </w:r>
        <w:r>
          <w:t>323</w:t>
        </w:r>
        <w:r>
          <w:fldChar w:fldCharType="end"/>
        </w:r>
      </w:hyperlink>
    </w:p>
    <w:p>
      <w:pPr>
        <w:pStyle w:val="TOC3"/>
        <w:tabs>
          <w:tab w:val="right" w:leader="dot" w:pos="9072"/>
        </w:tabs>
      </w:pPr>
      <w:hyperlink w:anchor="_LarkToc00229" w:history="1">
        <w:r>
          <w:t>附件32-3　施工噪声控制与夜间施工许可/公示记录表</w:t>
        </w:r>
        <w:r>
          <w:tab/>
        </w:r>
        <w:r>
          <w:fldChar w:fldCharType="begin"/>
        </w:r>
        <w:r>
          <w:instrText xml:space="preserve"> PAGEREF _LarkToc00229 \h </w:instrText>
        </w:r>
        <w:r>
          <w:fldChar w:fldCharType="separate"/>
        </w:r>
        <w:r>
          <w:t>324</w:t>
        </w:r>
        <w:r>
          <w:fldChar w:fldCharType="end"/>
        </w:r>
      </w:hyperlink>
    </w:p>
    <w:p>
      <w:pPr>
        <w:pStyle w:val="TOC3"/>
        <w:tabs>
          <w:tab w:val="right" w:leader="dot" w:pos="9072"/>
        </w:tabs>
      </w:pPr>
      <w:hyperlink w:anchor="_LarkToc00230" w:history="1">
        <w:r>
          <w:t>附件32-4　施工污水、泥浆与废水排放管理表</w:t>
        </w:r>
        <w:r>
          <w:tab/>
        </w:r>
        <w:r>
          <w:fldChar w:fldCharType="begin"/>
        </w:r>
        <w:r>
          <w:instrText xml:space="preserve"> PAGEREF _LarkToc00230 \h </w:instrText>
        </w:r>
        <w:r>
          <w:fldChar w:fldCharType="separate"/>
        </w:r>
        <w:r>
          <w:t>325</w:t>
        </w:r>
        <w:r>
          <w:fldChar w:fldCharType="end"/>
        </w:r>
      </w:hyperlink>
    </w:p>
    <w:p>
      <w:pPr>
        <w:pStyle w:val="TOC3"/>
        <w:tabs>
          <w:tab w:val="right" w:leader="dot" w:pos="9072"/>
        </w:tabs>
      </w:pPr>
      <w:hyperlink w:anchor="_LarkToc00231" w:history="1">
        <w:r>
          <w:t>附件32-5　建筑垃圾（工程渣土）产生、外运与处置台账</w:t>
        </w:r>
        <w:r>
          <w:tab/>
        </w:r>
        <w:r>
          <w:fldChar w:fldCharType="begin"/>
        </w:r>
        <w:r>
          <w:instrText xml:space="preserve"> PAGEREF _LarkToc00231 \h </w:instrText>
        </w:r>
        <w:r>
          <w:fldChar w:fldCharType="separate"/>
        </w:r>
        <w:r>
          <w:t>326</w:t>
        </w:r>
        <w:r>
          <w:fldChar w:fldCharType="end"/>
        </w:r>
      </w:hyperlink>
    </w:p>
    <w:p>
      <w:pPr>
        <w:pStyle w:val="TOC3"/>
        <w:tabs>
          <w:tab w:val="right" w:leader="dot" w:pos="9072"/>
        </w:tabs>
      </w:pPr>
      <w:hyperlink w:anchor="_LarkToc00232" w:history="1">
        <w:r>
          <w:t>附件32-6　文明工地（围挡/道路/生活区/CI）创建检查表</w:t>
        </w:r>
        <w:r>
          <w:tab/>
        </w:r>
        <w:r>
          <w:fldChar w:fldCharType="begin"/>
        </w:r>
        <w:r>
          <w:instrText xml:space="preserve"> PAGEREF _LarkToc00232 \h </w:instrText>
        </w:r>
        <w:r>
          <w:fldChar w:fldCharType="separate"/>
        </w:r>
        <w:r>
          <w:t>327</w:t>
        </w:r>
        <w:r>
          <w:fldChar w:fldCharType="end"/>
        </w:r>
      </w:hyperlink>
    </w:p>
    <w:p>
      <w:pPr>
        <w:pStyle w:val="TOC3"/>
        <w:tabs>
          <w:tab w:val="right" w:leader="dot" w:pos="9072"/>
        </w:tabs>
      </w:pPr>
      <w:hyperlink w:anchor="_LarkToc00233" w:history="1">
        <w:r>
          <w:t>附件32-7　环境在线监测与重污染天气应急响应记录表</w:t>
        </w:r>
        <w:r>
          <w:tab/>
        </w:r>
        <w:r>
          <w:fldChar w:fldCharType="begin"/>
        </w:r>
        <w:r>
          <w:instrText xml:space="preserve"> PAGEREF _LarkToc00233 \h </w:instrText>
        </w:r>
        <w:r>
          <w:fldChar w:fldCharType="separate"/>
        </w:r>
        <w:r>
          <w:t>328</w:t>
        </w:r>
        <w:r>
          <w:fldChar w:fldCharType="end"/>
        </w:r>
      </w:hyperlink>
    </w:p>
    <w:p>
      <w:pPr>
        <w:pStyle w:val="TOC3"/>
        <w:tabs>
          <w:tab w:val="right" w:leader="dot" w:pos="9072"/>
        </w:tabs>
      </w:pPr>
      <w:hyperlink w:anchor="_LarkToc00234" w:history="1">
        <w:r>
          <w:t>附件33-1　装配式项目策划与可行性评估表</w:t>
        </w:r>
        <w:r>
          <w:tab/>
        </w:r>
        <w:r>
          <w:fldChar w:fldCharType="begin"/>
        </w:r>
        <w:r>
          <w:instrText xml:space="preserve"> PAGEREF _LarkToc00234 \h </w:instrText>
        </w:r>
        <w:r>
          <w:fldChar w:fldCharType="separate"/>
        </w:r>
        <w:r>
          <w:t>332</w:t>
        </w:r>
        <w:r>
          <w:fldChar w:fldCharType="end"/>
        </w:r>
      </w:hyperlink>
    </w:p>
    <w:p>
      <w:pPr>
        <w:pStyle w:val="TOC3"/>
        <w:tabs>
          <w:tab w:val="right" w:leader="dot" w:pos="9072"/>
        </w:tabs>
      </w:pPr>
      <w:hyperlink w:anchor="_LarkToc00235" w:history="1">
        <w:r>
          <w:t>附件33-2　装配率指标与构件方案配置表</w:t>
        </w:r>
        <w:r>
          <w:tab/>
        </w:r>
        <w:r>
          <w:fldChar w:fldCharType="begin"/>
        </w:r>
        <w:r>
          <w:instrText xml:space="preserve"> PAGEREF _LarkToc00235 \h </w:instrText>
        </w:r>
        <w:r>
          <w:fldChar w:fldCharType="separate"/>
        </w:r>
        <w:r>
          <w:t>333</w:t>
        </w:r>
        <w:r>
          <w:fldChar w:fldCharType="end"/>
        </w:r>
      </w:hyperlink>
    </w:p>
    <w:p>
      <w:pPr>
        <w:pStyle w:val="TOC3"/>
        <w:tabs>
          <w:tab w:val="right" w:leader="dot" w:pos="9072"/>
        </w:tabs>
      </w:pPr>
      <w:hyperlink w:anchor="_LarkToc00236" w:history="1">
        <w:r>
          <w:t>附件33-3　预制构件采购、生产监造与进场验收表</w:t>
        </w:r>
        <w:r>
          <w:tab/>
        </w:r>
        <w:r>
          <w:fldChar w:fldCharType="begin"/>
        </w:r>
        <w:r>
          <w:instrText xml:space="preserve"> PAGEREF _LarkToc00236 \h </w:instrText>
        </w:r>
        <w:r>
          <w:fldChar w:fldCharType="separate"/>
        </w:r>
        <w:r>
          <w:t>334</w:t>
        </w:r>
        <w:r>
          <w:fldChar w:fldCharType="end"/>
        </w:r>
      </w:hyperlink>
    </w:p>
    <w:p>
      <w:pPr>
        <w:pStyle w:val="TOC3"/>
        <w:tabs>
          <w:tab w:val="right" w:leader="dot" w:pos="9072"/>
        </w:tabs>
      </w:pPr>
      <w:hyperlink w:anchor="_LarkToc00237" w:history="1">
        <w:r>
          <w:t>附件33-4　预制构件吊装与灌浆套筒连接质量控制表（关键工序旁站）</w:t>
        </w:r>
        <w:r>
          <w:tab/>
        </w:r>
        <w:r>
          <w:fldChar w:fldCharType="begin"/>
        </w:r>
        <w:r>
          <w:instrText xml:space="preserve"> PAGEREF _LarkToc00237 \h </w:instrText>
        </w:r>
        <w:r>
          <w:fldChar w:fldCharType="separate"/>
        </w:r>
        <w:r>
          <w:t>335</w:t>
        </w:r>
        <w:r>
          <w:fldChar w:fldCharType="end"/>
        </w:r>
      </w:hyperlink>
    </w:p>
    <w:p>
      <w:pPr>
        <w:pStyle w:val="TOC3"/>
        <w:tabs>
          <w:tab w:val="right" w:leader="dot" w:pos="9072"/>
        </w:tabs>
      </w:pPr>
      <w:hyperlink w:anchor="_LarkToc00238" w:history="1">
        <w:r>
          <w:t>附件33-5　装配式深化设计与碰撞审查记录</w:t>
        </w:r>
        <w:r>
          <w:tab/>
        </w:r>
        <w:r>
          <w:fldChar w:fldCharType="begin"/>
        </w:r>
        <w:r>
          <w:instrText xml:space="preserve"> PAGEREF _LarkToc00238 \h </w:instrText>
        </w:r>
        <w:r>
          <w:fldChar w:fldCharType="separate"/>
        </w:r>
        <w:r>
          <w:t>336</w:t>
        </w:r>
        <w:r>
          <w:fldChar w:fldCharType="end"/>
        </w:r>
      </w:hyperlink>
    </w:p>
    <w:p>
      <w:pPr>
        <w:pStyle w:val="TOC3"/>
        <w:tabs>
          <w:tab w:val="right" w:leader="dot" w:pos="9072"/>
        </w:tabs>
      </w:pPr>
      <w:hyperlink w:anchor="_LarkToc00239" w:history="1">
        <w:r>
          <w:t>附件33-6　装配式专项施工方案与吊装作业审批表</w:t>
        </w:r>
        <w:r>
          <w:tab/>
        </w:r>
        <w:r>
          <w:fldChar w:fldCharType="begin"/>
        </w:r>
        <w:r>
          <w:instrText xml:space="preserve"> PAGEREF _LarkToc00239 \h </w:instrText>
        </w:r>
        <w:r>
          <w:fldChar w:fldCharType="separate"/>
        </w:r>
        <w:r>
          <w:t>337</w:t>
        </w:r>
        <w:r>
          <w:fldChar w:fldCharType="end"/>
        </w:r>
      </w:hyperlink>
    </w:p>
    <w:p>
      <w:pPr>
        <w:pStyle w:val="TOC3"/>
        <w:tabs>
          <w:tab w:val="right" w:leader="dot" w:pos="9072"/>
        </w:tabs>
      </w:pPr>
      <w:hyperlink w:anchor="_LarkToc00240" w:history="1">
        <w:r>
          <w:t>附件34-1　工程总承包/投建营模式与风险分配对照表</w:t>
        </w:r>
        <w:r>
          <w:tab/>
        </w:r>
        <w:r>
          <w:fldChar w:fldCharType="begin"/>
        </w:r>
        <w:r>
          <w:instrText xml:space="preserve"> PAGEREF _LarkToc00240 \h </w:instrText>
        </w:r>
        <w:r>
          <w:fldChar w:fldCharType="separate"/>
        </w:r>
        <w:r>
          <w:t>341</w:t>
        </w:r>
        <w:r>
          <w:fldChar w:fldCharType="end"/>
        </w:r>
      </w:hyperlink>
    </w:p>
    <w:p>
      <w:pPr>
        <w:pStyle w:val="TOC3"/>
        <w:tabs>
          <w:tab w:val="right" w:leader="dot" w:pos="9072"/>
        </w:tabs>
      </w:pPr>
      <w:hyperlink w:anchor="_LarkToc00241" w:history="1">
        <w:r>
          <w:t>附件34-2　设计管理与限额设计控制表</w:t>
        </w:r>
        <w:r>
          <w:tab/>
        </w:r>
        <w:r>
          <w:fldChar w:fldCharType="begin"/>
        </w:r>
        <w:r>
          <w:instrText xml:space="preserve"> PAGEREF _LarkToc00241 \h </w:instrText>
        </w:r>
        <w:r>
          <w:fldChar w:fldCharType="separate"/>
        </w:r>
        <w:r>
          <w:t>342</w:t>
        </w:r>
        <w:r>
          <w:fldChar w:fldCharType="end"/>
        </w:r>
      </w:hyperlink>
    </w:p>
    <w:p>
      <w:pPr>
        <w:pStyle w:val="TOC3"/>
        <w:tabs>
          <w:tab w:val="right" w:leader="dot" w:pos="9072"/>
        </w:tabs>
      </w:pPr>
      <w:hyperlink w:anchor="_LarkToc00242" w:history="1">
        <w:r>
          <w:t>附件34-3　工程总承包项目投标与报价决策表</w:t>
        </w:r>
        <w:r>
          <w:tab/>
        </w:r>
        <w:r>
          <w:fldChar w:fldCharType="begin"/>
        </w:r>
        <w:r>
          <w:instrText xml:space="preserve"> PAGEREF _LarkToc00242 \h </w:instrText>
        </w:r>
        <w:r>
          <w:fldChar w:fldCharType="separate"/>
        </w:r>
        <w:r>
          <w:t>343</w:t>
        </w:r>
        <w:r>
          <w:fldChar w:fldCharType="end"/>
        </w:r>
      </w:hyperlink>
    </w:p>
    <w:p>
      <w:pPr>
        <w:pStyle w:val="TOC3"/>
        <w:tabs>
          <w:tab w:val="right" w:leader="dot" w:pos="9072"/>
        </w:tabs>
      </w:pPr>
      <w:hyperlink w:anchor="_LarkToc00243" w:history="1">
        <w:r>
          <w:t>附件34-4　采购—施工接口与进度协同表</w:t>
        </w:r>
        <w:r>
          <w:tab/>
        </w:r>
        <w:r>
          <w:fldChar w:fldCharType="begin"/>
        </w:r>
        <w:r>
          <w:instrText xml:space="preserve"> PAGEREF _LarkToc00243 \h </w:instrText>
        </w:r>
        <w:r>
          <w:fldChar w:fldCharType="separate"/>
        </w:r>
        <w:r>
          <w:t>344</w:t>
        </w:r>
        <w:r>
          <w:fldChar w:fldCharType="end"/>
        </w:r>
      </w:hyperlink>
    </w:p>
    <w:p>
      <w:pPr>
        <w:pStyle w:val="TOC3"/>
        <w:tabs>
          <w:tab w:val="right" w:leader="dot" w:pos="9072"/>
        </w:tabs>
      </w:pPr>
      <w:hyperlink w:anchor="_LarkToc00244" w:history="1">
        <w:r>
          <w:t>附件34-5　投建营（含融资）项目财务测算与可行性表</w:t>
        </w:r>
        <w:r>
          <w:tab/>
        </w:r>
        <w:r>
          <w:fldChar w:fldCharType="begin"/>
        </w:r>
        <w:r>
          <w:instrText xml:space="preserve"> PAGEREF _LarkToc00244 \h </w:instrText>
        </w:r>
        <w:r>
          <w:fldChar w:fldCharType="separate"/>
        </w:r>
        <w:r>
          <w:t>345</w:t>
        </w:r>
        <w:r>
          <w:fldChar w:fldCharType="end"/>
        </w:r>
      </w:hyperlink>
    </w:p>
    <w:p>
      <w:pPr>
        <w:pStyle w:val="TOC3"/>
        <w:tabs>
          <w:tab w:val="right" w:leader="dot" w:pos="9072"/>
        </w:tabs>
      </w:pPr>
      <w:hyperlink w:anchor="_LarkToc00245" w:history="1">
        <w:r>
          <w:t>附件34-6　工程总承包合同关键条款与风险核查表</w:t>
        </w:r>
        <w:r>
          <w:tab/>
        </w:r>
        <w:r>
          <w:fldChar w:fldCharType="begin"/>
        </w:r>
        <w:r>
          <w:instrText xml:space="preserve"> PAGEREF _LarkToc00245 \h </w:instrText>
        </w:r>
        <w:r>
          <w:fldChar w:fldCharType="separate"/>
        </w:r>
        <w:r>
          <w:t>346</w:t>
        </w:r>
        <w:r>
          <w:fldChar w:fldCharType="end"/>
        </w:r>
      </w:hyperlink>
    </w:p>
    <w:p>
      <w:pPr>
        <w:pStyle w:val="TOC3"/>
        <w:tabs>
          <w:tab w:val="right" w:leader="dot" w:pos="9072"/>
        </w:tabs>
      </w:pPr>
      <w:hyperlink w:anchor="_LarkToc00246" w:history="1">
        <w:r>
          <w:t>附件35-1　智慧工地建设需求与功能配置表</w:t>
        </w:r>
        <w:r>
          <w:tab/>
        </w:r>
        <w:r>
          <w:fldChar w:fldCharType="begin"/>
        </w:r>
        <w:r>
          <w:instrText xml:space="preserve"> PAGEREF _LarkToc00246 \h </w:instrText>
        </w:r>
        <w:r>
          <w:fldChar w:fldCharType="separate"/>
        </w:r>
        <w:r>
          <w:t>350</w:t>
        </w:r>
        <w:r>
          <w:fldChar w:fldCharType="end"/>
        </w:r>
      </w:hyperlink>
    </w:p>
    <w:p>
      <w:pPr>
        <w:pStyle w:val="TOC3"/>
        <w:tabs>
          <w:tab w:val="right" w:leader="dot" w:pos="9072"/>
        </w:tabs>
      </w:pPr>
      <w:hyperlink w:anchor="_LarkToc00247" w:history="1">
        <w:r>
          <w:t>附件35-2　BIM实施策划与应用点清单</w:t>
        </w:r>
        <w:r>
          <w:tab/>
        </w:r>
        <w:r>
          <w:fldChar w:fldCharType="begin"/>
        </w:r>
        <w:r>
          <w:instrText xml:space="preserve"> PAGEREF _LarkToc00247 \h </w:instrText>
        </w:r>
        <w:r>
          <w:fldChar w:fldCharType="separate"/>
        </w:r>
        <w:r>
          <w:t>351</w:t>
        </w:r>
        <w:r>
          <w:fldChar w:fldCharType="end"/>
        </w:r>
      </w:hyperlink>
    </w:p>
    <w:p>
      <w:pPr>
        <w:pStyle w:val="TOC3"/>
        <w:tabs>
          <w:tab w:val="right" w:leader="dot" w:pos="9072"/>
        </w:tabs>
      </w:pPr>
      <w:hyperlink w:anchor="_LarkToc00248" w:history="1">
        <w:r>
          <w:t>附件35-3　BIM建模深度（LOD）与协同管理、交付标准表</w:t>
        </w:r>
        <w:r>
          <w:tab/>
        </w:r>
        <w:r>
          <w:fldChar w:fldCharType="begin"/>
        </w:r>
        <w:r>
          <w:instrText xml:space="preserve"> PAGEREF _LarkToc00248 \h </w:instrText>
        </w:r>
        <w:r>
          <w:fldChar w:fldCharType="separate"/>
        </w:r>
        <w:r>
          <w:t>352</w:t>
        </w:r>
        <w:r>
          <w:fldChar w:fldCharType="end"/>
        </w:r>
      </w:hyperlink>
    </w:p>
    <w:p>
      <w:pPr>
        <w:pStyle w:val="TOC3"/>
        <w:tabs>
          <w:tab w:val="right" w:leader="dot" w:pos="9072"/>
        </w:tabs>
      </w:pPr>
      <w:hyperlink w:anchor="_LarkToc00249" w:history="1">
        <w:r>
          <w:t>附件35-4　数字化项目管理平台模块应用与数据填报表</w:t>
        </w:r>
        <w:r>
          <w:tab/>
        </w:r>
        <w:r>
          <w:fldChar w:fldCharType="begin"/>
        </w:r>
        <w:r>
          <w:instrText xml:space="preserve"> PAGEREF _LarkToc00249 \h </w:instrText>
        </w:r>
        <w:r>
          <w:fldChar w:fldCharType="separate"/>
        </w:r>
        <w:r>
          <w:t>353</w:t>
        </w:r>
        <w:r>
          <w:fldChar w:fldCharType="end"/>
        </w:r>
      </w:hyperlink>
    </w:p>
    <w:p>
      <w:pPr>
        <w:pStyle w:val="TOC3"/>
        <w:tabs>
          <w:tab w:val="right" w:leader="dot" w:pos="9072"/>
        </w:tabs>
      </w:pPr>
      <w:hyperlink w:anchor="_LarkToc00250" w:history="1">
        <w:r>
          <w:t>附件35-5　智慧工地/BIM投入产出（成本—效益）评估表</w:t>
        </w:r>
        <w:r>
          <w:tab/>
        </w:r>
        <w:r>
          <w:fldChar w:fldCharType="begin"/>
        </w:r>
        <w:r>
          <w:instrText xml:space="preserve"> PAGEREF _LarkToc00250 \h </w:instrText>
        </w:r>
        <w:r>
          <w:fldChar w:fldCharType="separate"/>
        </w:r>
        <w:r>
          <w:t>354</w:t>
        </w:r>
        <w:r>
          <w:fldChar w:fldCharType="end"/>
        </w:r>
      </w:hyperlink>
    </w:p>
    <w:p>
      <w:pPr>
        <w:pStyle w:val="TOC3"/>
        <w:tabs>
          <w:tab w:val="right" w:leader="dot" w:pos="9072"/>
        </w:tabs>
      </w:pPr>
      <w:hyperlink w:anchor="_LarkToc00251" w:history="1">
        <w:r>
          <w:t>附件36-1　绿色建筑星级目标与评价指标策划表</w:t>
        </w:r>
        <w:r>
          <w:tab/>
        </w:r>
        <w:r>
          <w:fldChar w:fldCharType="begin"/>
        </w:r>
        <w:r>
          <w:instrText xml:space="preserve"> PAGEREF _LarkToc00251 \h </w:instrText>
        </w:r>
        <w:r>
          <w:fldChar w:fldCharType="separate"/>
        </w:r>
        <w:r>
          <w:t>358</w:t>
        </w:r>
        <w:r>
          <w:fldChar w:fldCharType="end"/>
        </w:r>
      </w:hyperlink>
    </w:p>
    <w:p>
      <w:pPr>
        <w:pStyle w:val="TOC3"/>
        <w:tabs>
          <w:tab w:val="right" w:leader="dot" w:pos="9072"/>
        </w:tabs>
      </w:pPr>
      <w:hyperlink w:anchor="_LarkToc00252" w:history="1">
        <w:r>
          <w:t>附件36-2　节能与可再生能源应用措施表</w:t>
        </w:r>
        <w:r>
          <w:tab/>
        </w:r>
        <w:r>
          <w:fldChar w:fldCharType="begin"/>
        </w:r>
        <w:r>
          <w:instrText xml:space="preserve"> PAGEREF _LarkToc00252 \h </w:instrText>
        </w:r>
        <w:r>
          <w:fldChar w:fldCharType="separate"/>
        </w:r>
        <w:r>
          <w:t>359</w:t>
        </w:r>
        <w:r>
          <w:fldChar w:fldCharType="end"/>
        </w:r>
      </w:hyperlink>
    </w:p>
    <w:p>
      <w:pPr>
        <w:pStyle w:val="TOC3"/>
        <w:tabs>
          <w:tab w:val="right" w:leader="dot" w:pos="9072"/>
        </w:tabs>
      </w:pPr>
      <w:hyperlink w:anchor="_LarkToc00253" w:history="1">
        <w:r>
          <w:t>附件36-3　建筑施工阶段碳排放计算与减排措施表</w:t>
        </w:r>
        <w:r>
          <w:tab/>
        </w:r>
        <w:r>
          <w:fldChar w:fldCharType="begin"/>
        </w:r>
        <w:r>
          <w:instrText xml:space="preserve"> PAGEREF _LarkToc00253 \h </w:instrText>
        </w:r>
        <w:r>
          <w:fldChar w:fldCharType="separate"/>
        </w:r>
        <w:r>
          <w:t>360</w:t>
        </w:r>
        <w:r>
          <w:fldChar w:fldCharType="end"/>
        </w:r>
      </w:hyperlink>
    </w:p>
    <w:p>
      <w:pPr>
        <w:pStyle w:val="TOC3"/>
        <w:tabs>
          <w:tab w:val="right" w:leader="dot" w:pos="9072"/>
        </w:tabs>
      </w:pPr>
      <w:hyperlink w:anchor="_LarkToc00254" w:history="1">
        <w:r>
          <w:t>附件36-4　绿色建材采购与进场台账</w:t>
        </w:r>
        <w:r>
          <w:tab/>
        </w:r>
        <w:r>
          <w:fldChar w:fldCharType="begin"/>
        </w:r>
        <w:r>
          <w:instrText xml:space="preserve"> PAGEREF _LarkToc00254 \h </w:instrText>
        </w:r>
        <w:r>
          <w:fldChar w:fldCharType="separate"/>
        </w:r>
        <w:r>
          <w:t>361</w:t>
        </w:r>
        <w:r>
          <w:fldChar w:fldCharType="end"/>
        </w:r>
      </w:hyperlink>
    </w:p>
    <w:p>
      <w:pPr>
        <w:pStyle w:val="TOC3"/>
        <w:tabs>
          <w:tab w:val="right" w:leader="dot" w:pos="9072"/>
        </w:tabs>
      </w:pPr>
      <w:hyperlink w:anchor="_LarkToc00255" w:history="1">
        <w:r>
          <w:t>附件36-5　绿色建造示范项目申报与过程记录表</w:t>
        </w:r>
        <w:r>
          <w:tab/>
        </w:r>
        <w:r>
          <w:fldChar w:fldCharType="begin"/>
        </w:r>
        <w:r>
          <w:instrText xml:space="preserve"> PAGEREF _LarkToc00255 \h </w:instrText>
        </w:r>
        <w:r>
          <w:fldChar w:fldCharType="separate"/>
        </w:r>
        <w:r>
          <w:t>362</w:t>
        </w:r>
        <w:r>
          <w:fldChar w:fldCharType="end"/>
        </w:r>
      </w:hyperlink>
    </w:p>
    <w:p>
      <w:pPr>
        <w:pStyle w:val="TOC3"/>
        <w:tabs>
          <w:tab w:val="right" w:leader="dot" w:pos="9072"/>
        </w:tabs>
      </w:pPr>
      <w:hyperlink w:anchor="_LarkToc00256" w:history="1">
        <w:r>
          <w:t>附件37-1　目标国别市场调查与风险评估表</w:t>
        </w:r>
        <w:r>
          <w:tab/>
        </w:r>
        <w:r>
          <w:fldChar w:fldCharType="begin"/>
        </w:r>
        <w:r>
          <w:instrText xml:space="preserve"> PAGEREF _LarkToc00256 \h </w:instrText>
        </w:r>
        <w:r>
          <w:fldChar w:fldCharType="separate"/>
        </w:r>
        <w:r>
          <w:t>367</w:t>
        </w:r>
        <w:r>
          <w:fldChar w:fldCharType="end"/>
        </w:r>
      </w:hyperlink>
    </w:p>
    <w:p>
      <w:pPr>
        <w:pStyle w:val="TOC3"/>
        <w:tabs>
          <w:tab w:val="right" w:leader="dot" w:pos="9072"/>
        </w:tabs>
      </w:pPr>
      <w:hyperlink w:anchor="_LarkToc00257" w:history="1">
        <w:r>
          <w:t>附件37-2　海外项目合同模式与投标决策表</w:t>
        </w:r>
        <w:r>
          <w:tab/>
        </w:r>
        <w:r>
          <w:fldChar w:fldCharType="begin"/>
        </w:r>
        <w:r>
          <w:instrText xml:space="preserve"> PAGEREF _LarkToc00257 \h </w:instrText>
        </w:r>
        <w:r>
          <w:fldChar w:fldCharType="separate"/>
        </w:r>
        <w:r>
          <w:t>368</w:t>
        </w:r>
        <w:r>
          <w:fldChar w:fldCharType="end"/>
        </w:r>
      </w:hyperlink>
    </w:p>
    <w:p>
      <w:pPr>
        <w:pStyle w:val="TOC3"/>
        <w:tabs>
          <w:tab w:val="right" w:leader="dot" w:pos="9072"/>
        </w:tabs>
      </w:pPr>
      <w:hyperlink w:anchor="_LarkToc00258" w:history="1">
        <w:r>
          <w:t>附件37-3　外汇资金管理与汇率风险对冲表</w:t>
        </w:r>
        <w:r>
          <w:tab/>
        </w:r>
        <w:r>
          <w:fldChar w:fldCharType="begin"/>
        </w:r>
        <w:r>
          <w:instrText xml:space="preserve"> PAGEREF _LarkToc00258 \h </w:instrText>
        </w:r>
        <w:r>
          <w:fldChar w:fldCharType="separate"/>
        </w:r>
        <w:r>
          <w:t>369</w:t>
        </w:r>
        <w:r>
          <w:fldChar w:fldCharType="end"/>
        </w:r>
      </w:hyperlink>
    </w:p>
    <w:p>
      <w:pPr>
        <w:pStyle w:val="TOC3"/>
        <w:tabs>
          <w:tab w:val="right" w:leader="dot" w:pos="9072"/>
        </w:tabs>
      </w:pPr>
      <w:hyperlink w:anchor="_LarkToc00259" w:history="1">
        <w:r>
          <w:t>附件37-4　海外合规（制裁/反商业贿赂/税务/用工/HSE）核查表</w:t>
        </w:r>
        <w:r>
          <w:tab/>
        </w:r>
        <w:r>
          <w:fldChar w:fldCharType="begin"/>
        </w:r>
        <w:r>
          <w:instrText xml:space="preserve"> PAGEREF _LarkToc00259 \h </w:instrText>
        </w:r>
        <w:r>
          <w:fldChar w:fldCharType="separate"/>
        </w:r>
        <w:r>
          <w:t>370</w:t>
        </w:r>
        <w:r>
          <w:fldChar w:fldCharType="end"/>
        </w:r>
      </w:hyperlink>
    </w:p>
    <w:p>
      <w:pPr>
        <w:pStyle w:val="TOC3"/>
        <w:tabs>
          <w:tab w:val="right" w:leader="dot" w:pos="9072"/>
        </w:tabs>
      </w:pPr>
      <w:hyperlink w:anchor="_LarkToc00260" w:history="1">
        <w:r>
          <w:t>附件37-5　属地化用工与外派人员管理表</w:t>
        </w:r>
        <w:r>
          <w:tab/>
        </w:r>
        <w:r>
          <w:fldChar w:fldCharType="begin"/>
        </w:r>
        <w:r>
          <w:instrText xml:space="preserve"> PAGEREF _LarkToc00260 \h </w:instrText>
        </w:r>
        <w:r>
          <w:fldChar w:fldCharType="separate"/>
        </w:r>
        <w:r>
          <w:t>371</w:t>
        </w:r>
        <w:r>
          <w:fldChar w:fldCharType="end"/>
        </w:r>
      </w:hyperlink>
    </w:p>
    <w:p>
      <w:pPr>
        <w:pStyle w:val="TOC3"/>
        <w:tabs>
          <w:tab w:val="right" w:leader="dot" w:pos="9072"/>
        </w:tabs>
      </w:pPr>
      <w:hyperlink w:anchor="_LarkToc00261" w:history="1">
        <w:r>
          <w:t>附件37-6　海外保函、保险与索赔（FIDIC时限）管理表</w:t>
        </w:r>
        <w:r>
          <w:tab/>
        </w:r>
        <w:r>
          <w:fldChar w:fldCharType="begin"/>
        </w:r>
        <w:r>
          <w:instrText xml:space="preserve"> PAGEREF _LarkToc00261 \h </w:instrText>
        </w:r>
        <w:r>
          <w:fldChar w:fldCharType="separate"/>
        </w:r>
        <w:r>
          <w:t>372</w:t>
        </w:r>
        <w:r>
          <w:fldChar w:fldCharType="end"/>
        </w:r>
      </w:hyperlink>
      <w:r>
        <w:fldChar w:fldCharType="end"/>
      </w:r>
    </w:p>
    <w:p>
      <w:pPr>
        <w:sectPr>
          <w:footerReference w:type="default" r:id="rId10"/>
          <w:pgSz w:w="11906" w:h="16838"/>
          <w:pgMar w:top="1417" w:right="1417" w:bottom="1417" w:left="1417" w:header="720" w:footer="720" w:gutter="0"/>
          <w:cols w:space="720"/>
          <w:docGrid w:linePitch="360"/>
        </w:sectPr>
      </w:pPr>
    </w:p>
    <w:p>
      <w:pPr>
        <w:pStyle w:val="Heading1"/>
      </w:pPr>
      <w:bookmarkStart w:id="1" w:name="_LarkToc00001"/>
      <w:r>
        <w:t>第一篇　思想篇——实事求是看战场，用好六步工作法</w:t>
      </w:r>
      <w:bookmarkEnd w:id="1"/>
    </w:p>
    <w:p>
      <w:pPr>
        <w:pStyle w:val="Heading2"/>
      </w:pPr>
      <w:bookmarkStart w:id="2" w:name="_LarkToc00002"/>
      <w:r>
        <w:t>第1章　实事求是：先看清建筑业的真实战场</w:t>
      </w:r>
      <w:bookmarkEnd w:id="2"/>
    </w:p>
    <w:p>
      <w:pPr>
        <w:pStyle w:val="sec_head"/>
      </w:pPr>
      <w:r>
        <w:t>1.1　破局从“认清局面”开始</w:t>
      </w:r>
    </w:p>
    <w:p>
      <w:pPr>
        <w:spacing w:before="0" w:after="0" w:line="360" w:lineRule="auto"/>
        <w:ind w:firstLine="480"/>
        <w:jc w:val="both"/>
      </w:pPr>
      <w:r>
        <w:rPr>
          <w:rFonts w:ascii="Times New Roman" w:hAnsi="Times New Roman" w:eastAsia="宋体"/>
          <w:b w:val="0"/>
          <w:i w:val="0"/>
          <w:color w:val="000000"/>
          <w:sz w:val="24"/>
        </w:rPr>
        <w:t>毛泽东同志在《改造我们的学习》中对“实事求是”作过经典解释：“实事”就是客观存在着的一切事物，“是”就是客观事物的内部联系，即规律性，“求”就是我们去研究。对建筑施工企业而言，破局的第一步不是喊口号、不是等行情、也不是盲目转型，而是老老实实把三件事搞清楚：行业处在什么阶段、企业自身是什么家底、我们脚下的项目到底赚不赚钱。</w:t>
      </w:r>
    </w:p>
    <w:p>
      <w:pPr>
        <w:spacing w:before="0" w:after="0" w:line="360" w:lineRule="auto"/>
        <w:ind w:firstLine="480"/>
        <w:jc w:val="both"/>
      </w:pPr>
      <w:r>
        <w:rPr>
          <w:rFonts w:ascii="Times New Roman" w:hAnsi="Times New Roman" w:eastAsia="宋体"/>
          <w:b w:val="0"/>
          <w:i w:val="0"/>
          <w:color w:val="000000"/>
          <w:sz w:val="24"/>
        </w:rPr>
        <w:t>当前建筑业正处于深度调整期。市场总量增速放缓、低价竞争普遍、垫资与回款压力加大、利润空间被持续压缩，安全质量监管越来越严、行业集中度提升、落后产能加速出清。对这些事实，回避没有出路，抱怨更没有出路。毛泽东同志讲“星星之火，可以燎原”，看清趋势不是悲观，而是在困难中看到结构性机会；既不被表面繁荣迷惑，也不被一时困难吓倒。</w:t>
      </w:r>
    </w:p>
    <w:p>
      <w:pPr>
        <w:pStyle w:val="sec_head"/>
      </w:pPr>
      <w:r>
        <w:t>1.2　行业出清的四个信号（判断“大环境”）</w:t>
      </w:r>
    </w:p>
    <w:p>
      <w:pPr>
        <w:spacing w:before="0" w:after="0" w:line="360" w:lineRule="auto"/>
        <w:ind w:firstLine="480"/>
        <w:jc w:val="both"/>
      </w:pPr>
      <w:r>
        <w:rPr>
          <w:rFonts w:ascii="Times New Roman" w:hAnsi="Times New Roman" w:eastAsia="宋体"/>
          <w:b w:val="0"/>
          <w:i w:val="0"/>
          <w:color w:val="000000"/>
          <w:sz w:val="24"/>
        </w:rPr>
        <w:t>判断行业不能只看“中标了多少”，要看“赚没赚到钱、钱回没回来、家底厚不厚”。企业应至少跟踪四个信号，并落到具体数字（见附件1-1）：</w:t>
      </w:r>
    </w:p>
    <w:p>
      <w:pPr>
        <w:pStyle w:val="ListBullet"/>
        <w:spacing w:before="0" w:after="0" w:line="360" w:lineRule="auto"/>
        <w:ind w:firstLine="0" w:left="420"/>
        <w:jc w:val="both"/>
      </w:pPr>
      <w:r>
        <w:rPr>
          <w:rFonts w:ascii="Times New Roman" w:hAnsi="Times New Roman" w:eastAsia="宋体"/>
          <w:b w:val="0"/>
          <w:i w:val="0"/>
          <w:color w:val="000000"/>
          <w:sz w:val="24"/>
        </w:rPr>
        <w:t>信号一·总量与订单：新签合同额、在手任务、中标率、中标价相对控制价的下浮率，是否持续恶化。</w:t>
      </w:r>
    </w:p>
    <w:p>
      <w:pPr>
        <w:pStyle w:val="ListBullet"/>
        <w:spacing w:before="0" w:after="0" w:line="360" w:lineRule="auto"/>
        <w:ind w:firstLine="0" w:left="420"/>
        <w:jc w:val="both"/>
      </w:pPr>
      <w:r>
        <w:rPr>
          <w:rFonts w:ascii="Times New Roman" w:hAnsi="Times New Roman" w:eastAsia="宋体"/>
          <w:b w:val="0"/>
          <w:i w:val="0"/>
          <w:color w:val="000000"/>
          <w:sz w:val="24"/>
        </w:rPr>
        <w:t>信号二·盈利质量：产值利润率、毛利率、管理费用率，是否“增收不增利”“干得越多亏得越多”。</w:t>
      </w:r>
    </w:p>
    <w:p>
      <w:pPr>
        <w:pStyle w:val="ListBullet"/>
        <w:spacing w:before="0" w:after="0" w:line="360" w:lineRule="auto"/>
        <w:ind w:firstLine="0" w:left="420"/>
        <w:jc w:val="both"/>
      </w:pPr>
      <w:r>
        <w:rPr>
          <w:rFonts w:ascii="Times New Roman" w:hAnsi="Times New Roman" w:eastAsia="宋体"/>
          <w:b w:val="0"/>
          <w:i w:val="0"/>
          <w:color w:val="000000"/>
          <w:sz w:val="24"/>
        </w:rPr>
        <w:t>信号三·现金流与回款：经营性现金流、应收账款及合同资产占比、平均回款周期、垫资规模，是否“账面利润、账上没钱”。</w:t>
      </w:r>
    </w:p>
    <w:p>
      <w:pPr>
        <w:pStyle w:val="ListBullet"/>
        <w:spacing w:before="0" w:after="0" w:line="360" w:lineRule="auto"/>
        <w:ind w:firstLine="0" w:left="420"/>
        <w:jc w:val="both"/>
      </w:pPr>
      <w:r>
        <w:rPr>
          <w:rFonts w:ascii="Times New Roman" w:hAnsi="Times New Roman" w:eastAsia="宋体"/>
          <w:b w:val="0"/>
          <w:i w:val="0"/>
          <w:color w:val="000000"/>
          <w:sz w:val="24"/>
        </w:rPr>
        <w:t>信号四·负债与风险：资产负债率、有息负债、逾期债务、诉讼与被执行、农民工工资及材料款拖欠，是否触及红线。</w:t>
      </w:r>
    </w:p>
    <w:p>
      <w:pPr>
        <w:spacing w:before="0" w:after="0" w:line="360" w:lineRule="auto"/>
        <w:ind w:firstLine="480"/>
        <w:jc w:val="both"/>
      </w:pPr>
      <w:r>
        <w:rPr>
          <w:rFonts w:ascii="Times New Roman" w:hAnsi="Times New Roman" w:eastAsia="宋体"/>
          <w:b w:val="0"/>
          <w:i w:val="0"/>
          <w:color w:val="000000"/>
          <w:sz w:val="24"/>
        </w:rPr>
        <w:t>四个信号中，现金流和负债是“生死线”，盈利质量是“健康线”，订单是“前线捷报”。前线捷报再好看，掩护不了后方粮仓失守。这正是“战略上藐视困难、战术上重视困难”的现实含义。</w:t>
      </w:r>
    </w:p>
    <w:p>
      <w:pPr>
        <w:pStyle w:val="sec_head"/>
      </w:pPr>
      <w:r>
        <w:t>1.3　施工企业的五类典型困局（认清“我们自己”）</w:t>
      </w:r>
    </w:p>
    <w:p>
      <w:pPr>
        <w:spacing w:before="0" w:after="0" w:line="360" w:lineRule="auto"/>
        <w:ind w:firstLine="480"/>
        <w:jc w:val="both"/>
      </w:pPr>
      <w:r>
        <w:rPr>
          <w:rFonts w:ascii="Times New Roman" w:hAnsi="Times New Roman" w:eastAsia="宋体"/>
          <w:b w:val="0"/>
          <w:i w:val="0"/>
          <w:color w:val="000000"/>
          <w:sz w:val="24"/>
        </w:rPr>
        <w:t>结合项目实际，多数施工企业的困难可归为五类，破局时要“一把钥匙开一把锁”，不能一个药方包治百病：</w:t>
      </w:r>
    </w:p>
    <w:p>
      <w:pPr>
        <w:pStyle w:val="ListBullet"/>
        <w:spacing w:before="0" w:after="0" w:line="360" w:lineRule="auto"/>
        <w:ind w:firstLine="0" w:left="420"/>
        <w:jc w:val="both"/>
      </w:pPr>
      <w:r>
        <w:rPr>
          <w:rFonts w:ascii="Times New Roman" w:hAnsi="Times New Roman" w:eastAsia="宋体"/>
          <w:b w:val="0"/>
          <w:i w:val="0"/>
          <w:color w:val="000000"/>
          <w:sz w:val="24"/>
        </w:rPr>
        <w:t>其一·低端内卷困局：同质化竞争、以低价换订单，中标即亏损，陷入“不接等死、接了找死”。</w:t>
      </w:r>
    </w:p>
    <w:p>
      <w:pPr>
        <w:pStyle w:val="ListBullet"/>
        <w:spacing w:before="0" w:after="0" w:line="360" w:lineRule="auto"/>
        <w:ind w:firstLine="0" w:left="420"/>
        <w:jc w:val="both"/>
      </w:pPr>
      <w:r>
        <w:rPr>
          <w:rFonts w:ascii="Times New Roman" w:hAnsi="Times New Roman" w:eastAsia="宋体"/>
          <w:b w:val="0"/>
          <w:i w:val="0"/>
          <w:color w:val="000000"/>
          <w:sz w:val="24"/>
        </w:rPr>
        <w:t>其二·垫资回款困局：建设单位资金不到位、进度款拖欠、结算久拖不决，现金流被项目拖垮。</w:t>
      </w:r>
    </w:p>
    <w:p>
      <w:pPr>
        <w:pStyle w:val="ListBullet"/>
        <w:spacing w:before="0" w:after="0" w:line="360" w:lineRule="auto"/>
        <w:ind w:firstLine="0" w:left="420"/>
        <w:jc w:val="both"/>
      </w:pPr>
      <w:r>
        <w:rPr>
          <w:rFonts w:ascii="Times New Roman" w:hAnsi="Times New Roman" w:eastAsia="宋体"/>
          <w:b w:val="0"/>
          <w:i w:val="0"/>
          <w:color w:val="000000"/>
          <w:sz w:val="24"/>
        </w:rPr>
        <w:t>其三·管理粗放困局：材料浪费、窝工返工、分包失控、变更签证不及时，利润在过程中“漏”掉。</w:t>
      </w:r>
    </w:p>
    <w:p>
      <w:pPr>
        <w:pStyle w:val="ListBullet"/>
        <w:spacing w:before="0" w:after="0" w:line="360" w:lineRule="auto"/>
        <w:ind w:firstLine="0" w:left="420"/>
        <w:jc w:val="both"/>
      </w:pPr>
      <w:r>
        <w:rPr>
          <w:rFonts w:ascii="Times New Roman" w:hAnsi="Times New Roman" w:eastAsia="宋体"/>
          <w:b w:val="0"/>
          <w:i w:val="0"/>
          <w:color w:val="000000"/>
          <w:sz w:val="24"/>
        </w:rPr>
        <w:t>其四·安全质量困局：安全投入不足、隐患整改不到位，一旦出事故，停产、罚款、资质受限、负责人追责，得不偿失。</w:t>
      </w:r>
    </w:p>
    <w:p>
      <w:pPr>
        <w:pStyle w:val="ListBullet"/>
        <w:spacing w:before="0" w:after="0" w:line="360" w:lineRule="auto"/>
        <w:ind w:firstLine="0" w:left="420"/>
        <w:jc w:val="both"/>
      </w:pPr>
      <w:r>
        <w:rPr>
          <w:rFonts w:ascii="Times New Roman" w:hAnsi="Times New Roman" w:eastAsia="宋体"/>
          <w:b w:val="0"/>
          <w:i w:val="0"/>
          <w:color w:val="000000"/>
          <w:sz w:val="24"/>
        </w:rPr>
        <w:t>其五·能力错配困局：长期困在传统房建，缺乏向市政、工业、水利、装配式、城市更新、海外等新战场转移的能力。</w:t>
      </w:r>
    </w:p>
    <w:p>
      <w:pPr>
        <w:pStyle w:val="sec_head"/>
      </w:pPr>
      <w:r>
        <w:t>1.4　破局总纲：把毛泽东思想的立场、观点、方法变成工作方法</w:t>
      </w:r>
    </w:p>
    <w:p>
      <w:pPr>
        <w:spacing w:before="0" w:after="0" w:line="360" w:lineRule="auto"/>
        <w:ind w:firstLine="480"/>
        <w:jc w:val="both"/>
      </w:pPr>
      <w:r>
        <w:rPr>
          <w:rFonts w:ascii="Times New Roman" w:hAnsi="Times New Roman" w:eastAsia="宋体"/>
          <w:b w:val="0"/>
          <w:i w:val="0"/>
          <w:color w:val="000000"/>
          <w:sz w:val="24"/>
        </w:rPr>
        <w:t>本指导书以毛泽东思想的立场观点方法为“魂”，以工程施工项目全流程为“体”，核心是六句话：</w:t>
      </w:r>
    </w:p>
    <w:p>
      <w:pPr>
        <w:pStyle w:val="ListBullet"/>
        <w:spacing w:before="0" w:after="0" w:line="360" w:lineRule="auto"/>
        <w:ind w:firstLine="0" w:left="420"/>
        <w:jc w:val="both"/>
      </w:pPr>
      <w:r>
        <w:rPr>
          <w:rFonts w:ascii="Times New Roman" w:hAnsi="Times New Roman" w:eastAsia="宋体"/>
          <w:b w:val="0"/>
          <w:i w:val="0"/>
          <w:color w:val="000000"/>
          <w:sz w:val="24"/>
        </w:rPr>
        <w:t>实事求是——一切从项目和市场的实际出发，不唯上、不唯书、只唯实。</w:t>
      </w:r>
    </w:p>
    <w:p>
      <w:pPr>
        <w:pStyle w:val="ListBullet"/>
        <w:spacing w:before="0" w:after="0" w:line="360" w:lineRule="auto"/>
        <w:ind w:firstLine="0" w:left="420"/>
        <w:jc w:val="both"/>
      </w:pPr>
      <w:r>
        <w:rPr>
          <w:rFonts w:ascii="Times New Roman" w:hAnsi="Times New Roman" w:eastAsia="宋体"/>
          <w:b w:val="0"/>
          <w:i w:val="0"/>
          <w:color w:val="000000"/>
          <w:sz w:val="24"/>
        </w:rPr>
        <w:t>抓主要矛盾——每个阶段只抓一两个决定全局的关键问题，集中力量打歼灭战。</w:t>
      </w:r>
    </w:p>
    <w:p>
      <w:pPr>
        <w:pStyle w:val="ListBullet"/>
        <w:spacing w:before="0" w:after="0" w:line="360" w:lineRule="auto"/>
        <w:ind w:firstLine="0" w:left="420"/>
        <w:jc w:val="both"/>
      </w:pPr>
      <w:r>
        <w:rPr>
          <w:rFonts w:ascii="Times New Roman" w:hAnsi="Times New Roman" w:eastAsia="宋体"/>
          <w:b w:val="0"/>
          <w:i w:val="0"/>
          <w:color w:val="000000"/>
          <w:sz w:val="24"/>
        </w:rPr>
        <w:t>群众路线——利润和安全质量都在班组、在一线，制度要落到每个工人、每道工序。</w:t>
      </w:r>
    </w:p>
    <w:p>
      <w:pPr>
        <w:pStyle w:val="ListBullet"/>
        <w:spacing w:before="0" w:after="0" w:line="360" w:lineRule="auto"/>
        <w:ind w:firstLine="0" w:left="420"/>
        <w:jc w:val="both"/>
      </w:pPr>
      <w:r>
        <w:rPr>
          <w:rFonts w:ascii="Times New Roman" w:hAnsi="Times New Roman" w:eastAsia="宋体"/>
          <w:b w:val="0"/>
          <w:i w:val="0"/>
          <w:color w:val="000000"/>
          <w:sz w:val="24"/>
        </w:rPr>
        <w:t>独立自主——核心能力、关键资源、证据台账必须握在自己手里，不被“挂靠”和“外包”架空。</w:t>
      </w:r>
    </w:p>
    <w:p>
      <w:pPr>
        <w:pStyle w:val="ListBullet"/>
        <w:spacing w:before="0" w:after="0" w:line="360" w:lineRule="auto"/>
        <w:ind w:firstLine="0" w:left="420"/>
        <w:jc w:val="both"/>
      </w:pPr>
      <w:r>
        <w:rPr>
          <w:rFonts w:ascii="Times New Roman" w:hAnsi="Times New Roman" w:eastAsia="宋体"/>
          <w:b w:val="0"/>
          <w:i w:val="0"/>
          <w:color w:val="000000"/>
          <w:sz w:val="24"/>
        </w:rPr>
        <w:t>持久战与根据地——不指望一招翻身，先守住现金流和安全质量的“根据地”，再图转型。</w:t>
      </w:r>
    </w:p>
    <w:p>
      <w:pPr>
        <w:pStyle w:val="ListBullet"/>
        <w:spacing w:before="0" w:after="0" w:line="360" w:lineRule="auto"/>
        <w:ind w:firstLine="0" w:left="420"/>
        <w:jc w:val="both"/>
      </w:pPr>
      <w:r>
        <w:rPr>
          <w:rFonts w:ascii="Times New Roman" w:hAnsi="Times New Roman" w:eastAsia="宋体"/>
          <w:b w:val="0"/>
          <w:i w:val="0"/>
          <w:color w:val="000000"/>
          <w:sz w:val="24"/>
        </w:rPr>
        <w:t>实践—认识—再实践——样板引路、检查复盘、持续改进，把经验沉淀为制度和工具。</w:t>
      </w:r>
    </w:p>
    <w:p>
      <w:pPr>
        <w:pStyle w:val="sec_head"/>
      </w:pPr>
      <w:r>
        <w:t>1.5　本章小结</w:t>
      </w:r>
    </w:p>
    <w:p>
      <w:pPr>
        <w:spacing w:before="0" w:after="0" w:line="360" w:lineRule="auto"/>
        <w:ind w:firstLine="480"/>
        <w:jc w:val="both"/>
      </w:pPr>
      <w:r>
        <w:rPr>
          <w:rFonts w:ascii="Times New Roman" w:hAnsi="Times New Roman" w:eastAsia="宋体"/>
          <w:b w:val="0"/>
          <w:i w:val="0"/>
          <w:color w:val="000000"/>
          <w:sz w:val="24"/>
        </w:rPr>
        <w:t>认清战场是为了打胜仗。看清出清信号，承认自身困局，并不意味着躺平；恰恰相反，只有把“家底”摸清、把“亏点”找准、把“红线”守住，才能把有限的兵力投向真正能生存、能盈利的战场。下一章把上述立场观点方法，固化为一套可反复使用的“六步工作法”。</w:t>
      </w:r>
    </w:p>
    <w:p>
      <w:pPr>
        <w:pStyle w:val="attach_div"/>
        <w:pageBreakBefore/>
        <w:jc w:val="center"/>
      </w:pPr>
      <w:r>
        <w:t>第1章　章末附件</w:t>
      </w:r>
    </w:p>
    <w:p>
      <w:pPr>
        <w:spacing w:before="0" w:after="0" w:line="360" w:lineRule="auto"/>
        <w:ind w:firstLine="480"/>
        <w:jc w:val="both"/>
      </w:pPr>
      <w:r>
        <w:rPr>
          <w:rFonts w:ascii="Times New Roman" w:hAnsi="Times New Roman" w:eastAsia="宋体"/>
          <w:b w:val="0"/>
          <w:i w:val="0"/>
          <w:color w:val="000000"/>
          <w:sz w:val="24"/>
        </w:rPr>
        <w:t>本页之后为《实事求是：先看清建筑业的真实战场》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50" w:name="_LarkToc00050"/>
      <w:r>
        <w:t>附件1-1　企业（项目部）困局体检与行业出清信号评分表</w:t>
      </w:r>
      <w:bookmarkEnd w:id="50"/>
    </w:p>
    <w:p>
      <w:pPr>
        <w:spacing w:before="0" w:after="40" w:line="312" w:lineRule="auto"/>
        <w:ind w:firstLine="0"/>
        <w:jc w:val="left"/>
      </w:pPr>
      <w:r>
        <w:rPr>
          <w:rFonts w:ascii="Times New Roman" w:hAnsi="Times New Roman" w:eastAsia="宋体"/>
          <w:b w:val="0"/>
          <w:i w:val="0"/>
          <w:color w:val="595959"/>
          <w:sz w:val="18"/>
        </w:rPr>
        <w:t>【归属】第1章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季度或承接重大项目前由公司经营层牵头填写一次。先按“口径”取数，再对照“判定标准”打分，凡命中“红线/警戒”的，必须在右侧写明整改责任人和期限。打分仅作内部管理参考，取数以财务账面和台账为准。</w:t>
      </w:r>
    </w:p>
    <w:p>
      <w:pPr>
        <w:keepNext/>
        <w:spacing w:before="80" w:after="40" w:line="288" w:lineRule="auto"/>
        <w:ind w:firstLine="0"/>
        <w:jc w:val="center"/>
      </w:pPr>
      <w:r>
        <w:rPr>
          <w:rFonts w:ascii="Times New Roman" w:hAnsi="Times New Roman" w:eastAsia="黑体"/>
          <w:b/>
          <w:i w:val="0"/>
          <w:color w:val="000000"/>
          <w:sz w:val="21"/>
        </w:rPr>
        <w:t>表1-1　行业出清四信号与企业困局体检表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维度</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观测指标</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数据口径/取数来源</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判定标准（绿/黄/红）</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本期实际</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得分</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风险判定</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整改措施与责任人</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一·订单</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新签合同额同比</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经营报表，本年累计÷上年同期</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≥0绿 / -10%~0黄 / &lt;-10%红</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一·订单</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中标价平均下浮率</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中标价÷招标控制价-1</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≤5%绿 / 5%~10%黄 / &gt;10%红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一·订单</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在手任务保障月数</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在手合同额÷近12个月月均产值</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≥6月绿 / 3~6月黄 / &lt;3月红</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二·盈利</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产值利润率</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利润总额÷营业收入</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≥2%绿 / 0~2%黄 / 亏损红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二·盈利</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项目毛利率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（收入-成本）÷收入，分项目</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≥8%绿 / 3%~8%黄 / &lt;3%红</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二·盈利</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管理费用率</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管理费用÷营业收入</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≤4%绿 / 4%~6%黄 / &gt;6%红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三·现金流</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经营活动现金流净额</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现金流量表本期净额</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为正绿 / 微负黄 / 大额持续为负红</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三·现金流</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应收+合同资产占比</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（应收账款+合同资产）÷资产总额</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≤30%绿 / 30%~50%黄 / &gt;50%红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三·现金流</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平均回款周期（天）</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应收账款平均余额÷营业收入×365</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≤90绿 / 90~180黄 / &gt;180红</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三·现金流</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垫资/在建项目资金缺口</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累计垫资额、缺口项目数</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无缺口绿 / 可控黄 / 缺口扩大红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四·负债</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资产负债率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负债总额÷资产总额</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≤70%绿 / 70%~85%黄 / &gt;85%红</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四·负债</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逾期债务及涉诉</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逾期借款、被执行、重大诉讼金额</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无绿 / 少量可控黄 / 重大红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四·负债</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农民工工资/材料款拖欠</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工资专户、应付账款逾期情况</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无拖欠绿 / 少量黄 / 群体性风险红</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五·底线</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较大及以上安全质量事故</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事故台账（按493号令等级）</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无绿 / 隐患多发黄 / 发生事故红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□绿□黄□红</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说明：1.判定区间为管理参考值，企业可结合所在地行业平均和自身历史水平调整，但红线（现金流为负、负债率过高、发生较大及以上事故、拖欠农民工工资）不得放松。2.取数保留两位小数，金额单位统一为万元。3.依据：《企业安全生产费用提取和使用管理办法》（财资〔2022〕136号）、《生产安全事故报告和调查处理条例》（国务院令第493号）等；具体财务指标口径以企业会计准则及内部报表为准。</w:t>
      </w:r>
    </w:p>
    <w:p>
      <w:pPr>
        <w:pStyle w:val="Heading2"/>
        <w:pageBreakBefore/>
      </w:pPr>
      <w:bookmarkStart w:id="3" w:name="_LarkToc00003"/>
      <w:r>
        <w:t>第2章　总方法：调查—分析—决策—试点—组织—复盘的六步工作法</w:t>
      </w:r>
      <w:bookmarkEnd w:id="3"/>
    </w:p>
    <w:p>
      <w:pPr>
        <w:pStyle w:val="sec_head"/>
      </w:pPr>
      <w:r>
        <w:t>2.1　六步工作法的来源</w:t>
      </w:r>
    </w:p>
    <w:p>
      <w:pPr>
        <w:spacing w:before="0" w:after="0" w:line="360" w:lineRule="auto"/>
        <w:ind w:firstLine="480"/>
        <w:jc w:val="both"/>
      </w:pPr>
      <w:r>
        <w:rPr>
          <w:rFonts w:ascii="Times New Roman" w:hAnsi="Times New Roman" w:eastAsia="宋体"/>
          <w:b w:val="0"/>
          <w:i w:val="0"/>
          <w:color w:val="000000"/>
          <w:sz w:val="24"/>
        </w:rPr>
        <w:t>毛泽东思想中蕴含着一套完整的“认识世界、改造世界”的工作方法。把《实践论》《矛盾论》《反对本本主义》《关于领导方法的若干问题》《党委会的工作方法》等著作中的方法提炼出来，可形成本指导书贯穿始终的六步工作法：</w:t>
      </w:r>
    </w:p>
    <w:p>
      <w:pPr>
        <w:pStyle w:val="ListBullet"/>
        <w:spacing w:before="0" w:after="0" w:line="360" w:lineRule="auto"/>
        <w:ind w:firstLine="0" w:left="420"/>
        <w:jc w:val="both"/>
      </w:pPr>
      <w:r>
        <w:rPr>
          <w:rFonts w:ascii="Times New Roman" w:hAnsi="Times New Roman" w:eastAsia="宋体"/>
          <w:b w:val="0"/>
          <w:i w:val="0"/>
          <w:color w:val="000000"/>
          <w:sz w:val="24"/>
        </w:rPr>
        <w:t>第一步　调查研究：没有调查就没有发言权，先摸清现场、合同、对手、自身四本账。</w:t>
      </w:r>
    </w:p>
    <w:p>
      <w:pPr>
        <w:pStyle w:val="ListBullet"/>
        <w:spacing w:before="0" w:after="0" w:line="360" w:lineRule="auto"/>
        <w:ind w:firstLine="0" w:left="420"/>
        <w:jc w:val="both"/>
      </w:pPr>
      <w:r>
        <w:rPr>
          <w:rFonts w:ascii="Times New Roman" w:hAnsi="Times New Roman" w:eastAsia="宋体"/>
          <w:b w:val="0"/>
          <w:i w:val="0"/>
          <w:color w:val="000000"/>
          <w:sz w:val="24"/>
        </w:rPr>
        <w:t>第二步　分析矛盾：分清主要矛盾与次要矛盾、矛盾的主要方面，找出“牵一发而动全身”的关键。</w:t>
      </w:r>
    </w:p>
    <w:p>
      <w:pPr>
        <w:pStyle w:val="ListBullet"/>
        <w:spacing w:before="0" w:after="0" w:line="360" w:lineRule="auto"/>
        <w:ind w:firstLine="0" w:left="420"/>
        <w:jc w:val="both"/>
      </w:pPr>
      <w:r>
        <w:rPr>
          <w:rFonts w:ascii="Times New Roman" w:hAnsi="Times New Roman" w:eastAsia="宋体"/>
          <w:b w:val="0"/>
          <w:i w:val="0"/>
          <w:color w:val="000000"/>
          <w:sz w:val="24"/>
        </w:rPr>
        <w:t>第三步　确定目标与打法：定目标、定阶段、定集中兵力的方向，战略上藐视、战术上重视。</w:t>
      </w:r>
    </w:p>
    <w:p>
      <w:pPr>
        <w:pStyle w:val="ListBullet"/>
        <w:spacing w:before="0" w:after="0" w:line="360" w:lineRule="auto"/>
        <w:ind w:firstLine="0" w:left="420"/>
        <w:jc w:val="both"/>
      </w:pPr>
      <w:r>
        <w:rPr>
          <w:rFonts w:ascii="Times New Roman" w:hAnsi="Times New Roman" w:eastAsia="宋体"/>
          <w:b w:val="0"/>
          <w:i w:val="0"/>
          <w:color w:val="000000"/>
          <w:sz w:val="24"/>
        </w:rPr>
        <w:t>第四步　一般号召与个别指导相结合：先做试点、样板引路，成功后再由点到面推广。</w:t>
      </w:r>
    </w:p>
    <w:p>
      <w:pPr>
        <w:pStyle w:val="ListBullet"/>
        <w:spacing w:before="0" w:after="0" w:line="360" w:lineRule="auto"/>
        <w:ind w:firstLine="0" w:left="420"/>
        <w:jc w:val="both"/>
      </w:pPr>
      <w:r>
        <w:rPr>
          <w:rFonts w:ascii="Times New Roman" w:hAnsi="Times New Roman" w:eastAsia="宋体"/>
          <w:b w:val="0"/>
          <w:i w:val="0"/>
          <w:color w:val="000000"/>
          <w:sz w:val="24"/>
        </w:rPr>
        <w:t>第五步　组织群众、依靠群众：把目标和责任落实到班组、岗位、个人，打“人民战争”。</w:t>
      </w:r>
    </w:p>
    <w:p>
      <w:pPr>
        <w:pStyle w:val="ListBullet"/>
        <w:spacing w:before="0" w:after="0" w:line="360" w:lineRule="auto"/>
        <w:ind w:firstLine="0" w:left="420"/>
        <w:jc w:val="both"/>
      </w:pPr>
      <w:r>
        <w:rPr>
          <w:rFonts w:ascii="Times New Roman" w:hAnsi="Times New Roman" w:eastAsia="宋体"/>
          <w:b w:val="0"/>
          <w:i w:val="0"/>
          <w:color w:val="000000"/>
          <w:sz w:val="24"/>
        </w:rPr>
        <w:t>第六步　检查总结、再实践：在实践中检验、在复盘中修正，把经验固化为制度、工具和标准。</w:t>
      </w:r>
    </w:p>
    <w:p>
      <w:pPr>
        <w:pStyle w:val="sec_head"/>
      </w:pPr>
      <w:r>
        <w:t>2.2　六步不是走一遍，而是循环上升</w:t>
      </w:r>
    </w:p>
    <w:p>
      <w:pPr>
        <w:spacing w:before="0" w:after="0" w:line="360" w:lineRule="auto"/>
        <w:ind w:firstLine="480"/>
        <w:jc w:val="both"/>
      </w:pPr>
      <w:r>
        <w:rPr>
          <w:rFonts w:ascii="Times New Roman" w:hAnsi="Times New Roman" w:eastAsia="宋体"/>
          <w:b w:val="0"/>
          <w:i w:val="0"/>
          <w:color w:val="000000"/>
          <w:sz w:val="24"/>
        </w:rPr>
        <w:t>六步工作法不是“一次性流程”，而是“实践—认识—再实践—再认识”的螺旋上升。一个项目从投标、开工、过程、收尾到结算，每个阶段都可以也应当完整地走一遍六步；前一步是后一步的前提，后一步的结果又反过来检验和修正前一步。凡是“拍脑袋决策、拍胸脯保证、拍屁股走人”的三拍工程，根子都在跳过了调查、分析和复盘。</w:t>
      </w:r>
    </w:p>
    <w:p>
      <w:pPr>
        <w:pStyle w:val="sec_head"/>
      </w:pPr>
      <w:r>
        <w:t>2.3　第一步·调查研究：没有调查，就没有发言权</w:t>
      </w:r>
    </w:p>
    <w:p>
      <w:pPr>
        <w:spacing w:before="0" w:after="0" w:line="360" w:lineRule="auto"/>
        <w:ind w:firstLine="480"/>
        <w:jc w:val="both"/>
      </w:pPr>
      <w:r>
        <w:rPr>
          <w:rFonts w:ascii="Times New Roman" w:hAnsi="Times New Roman" w:eastAsia="宋体"/>
          <w:b w:val="0"/>
          <w:i w:val="0"/>
          <w:color w:val="000000"/>
          <w:sz w:val="24"/>
        </w:rPr>
        <w:t>调查是六步的地基，毛泽东同志“没有调查，就没有发言权”的论断，落到投标和项目上就是：不踏勘现场不算报价账，不核业主资信不接项目，不复核清单不发标。调查要摸清“四本账”：市场账（区域需求、对手格局、价格走势）、业主账（资信、资金来源、历史履约、手续）、现场账（地形地质、周边环境、临水临电、运输与弃土）、对手账（潜在投标人、历史报价、与业主关系）、自身账（在手任务、人材机富余度、成本库、现金流）。</w:t>
      </w:r>
    </w:p>
    <w:p>
      <w:pPr>
        <w:pStyle w:val="ListBullet"/>
        <w:spacing w:before="0" w:after="0" w:line="360" w:lineRule="auto"/>
        <w:ind w:firstLine="0" w:left="420"/>
        <w:jc w:val="both"/>
      </w:pPr>
      <w:r>
        <w:rPr>
          <w:rFonts w:ascii="Times New Roman" w:hAnsi="Times New Roman" w:eastAsia="宋体"/>
          <w:b w:val="0"/>
          <w:i w:val="0"/>
          <w:color w:val="000000"/>
          <w:sz w:val="24"/>
        </w:rPr>
        <w:t>方法：案头研究＋实地踏勘＋公开渠道核查三结合，凡关键数据必须写清来源与取得时间，禁止“大概、可能、据说”。</w:t>
      </w:r>
    </w:p>
    <w:p>
      <w:pPr>
        <w:pStyle w:val="ListBullet"/>
        <w:spacing w:before="0" w:after="0" w:line="360" w:lineRule="auto"/>
        <w:ind w:firstLine="0" w:left="420"/>
        <w:jc w:val="both"/>
      </w:pPr>
      <w:r>
        <w:rPr>
          <w:rFonts w:ascii="Times New Roman" w:hAnsi="Times New Roman" w:eastAsia="宋体"/>
          <w:b w:val="0"/>
          <w:i w:val="0"/>
          <w:color w:val="000000"/>
          <w:sz w:val="24"/>
        </w:rPr>
        <w:t>动作：现场带队踏勘并影像定位；通过国家企业信用信息公示系统、裁判文书网、执行信息公开网核查业主；逐项复核清单工程量与项目特征，形成偏差表。调查信息清单见附件2-2。</w:t>
      </w:r>
    </w:p>
    <w:p>
      <w:pPr>
        <w:pStyle w:val="ListBullet"/>
        <w:spacing w:before="0" w:after="0" w:line="360" w:lineRule="auto"/>
        <w:ind w:firstLine="0" w:left="420"/>
        <w:jc w:val="both"/>
      </w:pPr>
      <w:r>
        <w:rPr>
          <w:rFonts w:ascii="Times New Roman" w:hAnsi="Times New Roman" w:eastAsia="宋体"/>
          <w:b w:val="0"/>
          <w:i w:val="0"/>
          <w:color w:val="000000"/>
          <w:sz w:val="24"/>
        </w:rPr>
        <w:t>反例：坐在办公室照抄招标控制价下浮几个点就报价；轻信业主“资金马上到位”的口头承诺；不看地勘和现场就决定土方、支护报价——这类“无发言权”的报价，中标之日就是亏损之始。</w:t>
      </w:r>
    </w:p>
    <w:p>
      <w:pPr>
        <w:pStyle w:val="sec_head"/>
      </w:pPr>
      <w:r>
        <w:t>2.4　第二步·分析矛盾：牵牛要牵牛鼻子</w:t>
      </w:r>
    </w:p>
    <w:p>
      <w:pPr>
        <w:spacing w:before="0" w:after="0" w:line="360" w:lineRule="auto"/>
        <w:ind w:firstLine="480"/>
        <w:jc w:val="both"/>
      </w:pPr>
      <w:r>
        <w:rPr>
          <w:rFonts w:ascii="Times New Roman" w:hAnsi="Times New Roman" w:eastAsia="宋体"/>
          <w:b w:val="0"/>
          <w:i w:val="0"/>
          <w:color w:val="000000"/>
          <w:sz w:val="24"/>
        </w:rPr>
        <w:t>调查把材料堆起来之后，不能罗列现象，要用《矛盾论》的方法做“去粗取精、去伪存真、由此及彼、由表及里”的加工：分清主要矛盾与次要矛盾、矛盾的主要方面。施工项目的主要矛盾，往往不是“干不干得完”，而是“钱回不回得来、这个部位赚不赚钱、这个隐患会不会出事故”。要把盈亏点、风险点、现金支点全部列出，按影响程度排序，找出“牵一发而动全身”的那一两个关键。</w:t>
      </w:r>
    </w:p>
    <w:p>
      <w:pPr>
        <w:pStyle w:val="ListBullet"/>
        <w:spacing w:before="0" w:after="0" w:line="360" w:lineRule="auto"/>
        <w:ind w:firstLine="0" w:left="420"/>
        <w:jc w:val="both"/>
      </w:pPr>
      <w:r>
        <w:rPr>
          <w:rFonts w:ascii="Times New Roman" w:hAnsi="Times New Roman" w:eastAsia="宋体"/>
          <w:b w:val="0"/>
          <w:i w:val="0"/>
          <w:color w:val="000000"/>
          <w:sz w:val="24"/>
        </w:rPr>
        <w:t>方法：列问题清单→区分主次→锁定矛盾主要方面→预测其发展趋势。同一时期只集中解决一两个关键问题。</w:t>
      </w:r>
    </w:p>
    <w:p>
      <w:pPr>
        <w:pStyle w:val="ListBullet"/>
        <w:spacing w:before="0" w:after="0" w:line="360" w:lineRule="auto"/>
        <w:ind w:firstLine="0" w:left="420"/>
        <w:jc w:val="both"/>
      </w:pPr>
      <w:r>
        <w:rPr>
          <w:rFonts w:ascii="Times New Roman" w:hAnsi="Times New Roman" w:eastAsia="宋体"/>
          <w:b w:val="0"/>
          <w:i w:val="0"/>
          <w:color w:val="000000"/>
          <w:sz w:val="24"/>
        </w:rPr>
        <w:t>动作：做盈亏点分析、现金流压力测试、风险分级；把“必须守的底线”（安全、工资、保证金）单独标出。</w:t>
      </w:r>
    </w:p>
    <w:p>
      <w:pPr>
        <w:pStyle w:val="ListBullet"/>
        <w:spacing w:before="0" w:after="0" w:line="360" w:lineRule="auto"/>
        <w:ind w:firstLine="0" w:left="420"/>
        <w:jc w:val="both"/>
      </w:pPr>
      <w:r>
        <w:rPr>
          <w:rFonts w:ascii="Times New Roman" w:hAnsi="Times New Roman" w:eastAsia="宋体"/>
          <w:b w:val="0"/>
          <w:i w:val="0"/>
          <w:color w:val="000000"/>
          <w:sz w:val="24"/>
        </w:rPr>
        <w:t>反例：十个手指按十个跳蚤，眉毛胡子一把抓；平均用力、处处设防，结果最致命的那条现金链和安全线反而没人盯。</w:t>
      </w:r>
    </w:p>
    <w:p>
      <w:pPr>
        <w:pStyle w:val="sec_head"/>
      </w:pPr>
      <w:r>
        <w:t>2.5　第三步·决策定夺：集体留痕，留有退路</w:t>
      </w:r>
    </w:p>
    <w:p>
      <w:pPr>
        <w:spacing w:before="0" w:after="0" w:line="360" w:lineRule="auto"/>
        <w:ind w:firstLine="480"/>
        <w:jc w:val="both"/>
      </w:pPr>
      <w:r>
        <w:rPr>
          <w:rFonts w:ascii="Times New Roman" w:hAnsi="Times New Roman" w:eastAsia="宋体"/>
          <w:b w:val="0"/>
          <w:i w:val="0"/>
          <w:color w:val="000000"/>
          <w:sz w:val="24"/>
        </w:rPr>
        <w:t>决策要回答四个问题：目标是什么、分几个阶段打、兵力（资源）往哪里投、打不赢怎么撤。毛泽东同志讲“战略上藐视困难、战术上重视困难”，定方向要有信心，定方案却要把最坏情况算进去。重大决策实行集体评审、书面留痕，用决策矩阵把成本、收益、风险、现金流、可行性按权重打分，而不是一把手拍脑袋。任何决策都要预设“止损线”：什么条件下停止投入、放弃或退出。</w:t>
      </w:r>
    </w:p>
    <w:p>
      <w:pPr>
        <w:pStyle w:val="ListBullet"/>
        <w:spacing w:before="0" w:after="0" w:line="360" w:lineRule="auto"/>
        <w:ind w:firstLine="0" w:left="420"/>
        <w:jc w:val="both"/>
      </w:pPr>
      <w:r>
        <w:rPr>
          <w:rFonts w:ascii="Times New Roman" w:hAnsi="Times New Roman" w:eastAsia="宋体"/>
          <w:b w:val="0"/>
          <w:i w:val="0"/>
          <w:color w:val="000000"/>
          <w:sz w:val="24"/>
        </w:rPr>
        <w:t>方法：多方案比选＋加权决策矩阵＋风险一票否决；不可承受风险项出现时，直接淘汰该方案。决策矩阵见附件2-3。</w:t>
      </w:r>
    </w:p>
    <w:p>
      <w:pPr>
        <w:pStyle w:val="ListBullet"/>
        <w:spacing w:before="0" w:after="0" w:line="360" w:lineRule="auto"/>
        <w:ind w:firstLine="0" w:left="420"/>
        <w:jc w:val="both"/>
      </w:pPr>
      <w:r>
        <w:rPr>
          <w:rFonts w:ascii="Times New Roman" w:hAnsi="Times New Roman" w:eastAsia="宋体"/>
          <w:b w:val="0"/>
          <w:i w:val="0"/>
          <w:color w:val="000000"/>
          <w:sz w:val="24"/>
        </w:rPr>
        <w:t>动作：投标评审会、合同评审会逐项过；报价底线、垫资上限、付款底线由会议定死并签署。</w:t>
      </w:r>
    </w:p>
    <w:p>
      <w:pPr>
        <w:pStyle w:val="ListBullet"/>
        <w:spacing w:before="0" w:after="0" w:line="360" w:lineRule="auto"/>
        <w:ind w:firstLine="0" w:left="420"/>
        <w:jc w:val="both"/>
      </w:pPr>
      <w:r>
        <w:rPr>
          <w:rFonts w:ascii="Times New Roman" w:hAnsi="Times New Roman" w:eastAsia="宋体"/>
          <w:b w:val="0"/>
          <w:i w:val="0"/>
          <w:color w:val="000000"/>
          <w:sz w:val="24"/>
        </w:rPr>
        <w:t>反例：拍脑袋决策、拍胸脯保证、拍屁股走人；只算中标概率不算亏损底线；不留退路、不设止损，结果业主一拖欠就被整个项目拖垮现金流。</w:t>
      </w:r>
    </w:p>
    <w:p>
      <w:pPr>
        <w:pStyle w:val="sec_head"/>
      </w:pPr>
      <w:r>
        <w:t>2.6　第四步·试点样板：一般号召与个别指导相结合</w:t>
      </w:r>
    </w:p>
    <w:p>
      <w:pPr>
        <w:spacing w:before="0" w:after="0" w:line="360" w:lineRule="auto"/>
        <w:ind w:firstLine="480"/>
        <w:jc w:val="both"/>
      </w:pPr>
      <w:r>
        <w:rPr>
          <w:rFonts w:ascii="Times New Roman" w:hAnsi="Times New Roman" w:eastAsia="宋体"/>
          <w:b w:val="0"/>
          <w:i w:val="0"/>
          <w:color w:val="000000"/>
          <w:sz w:val="24"/>
        </w:rPr>
        <w:t>好办法不要一上来就全面铺开，先做试点、先树样板，成功后再由点到面推广，这就是“一般号召与个别指导相结合”。施工中的样板引路、首件验收、危大工程先做一段、报价先做一个专业的试算，都是这一步的体现。试点前必须先定验收标准，试点合格并交底后再大面积展开；试点发现问题，就停下来修正方案，而不是硬推。</w:t>
      </w:r>
    </w:p>
    <w:p>
      <w:pPr>
        <w:pStyle w:val="ListBullet"/>
        <w:spacing w:before="0" w:after="0" w:line="360" w:lineRule="auto"/>
        <w:ind w:firstLine="0" w:left="420"/>
        <w:jc w:val="both"/>
      </w:pPr>
      <w:r>
        <w:rPr>
          <w:rFonts w:ascii="Times New Roman" w:hAnsi="Times New Roman" w:eastAsia="宋体"/>
          <w:b w:val="0"/>
          <w:i w:val="0"/>
          <w:color w:val="000000"/>
          <w:sz w:val="24"/>
        </w:rPr>
        <w:t>方法：选有代表性的部位/班组/标段先行→明确验收标准→三方验收→总结修正→再推广。</w:t>
      </w:r>
    </w:p>
    <w:p>
      <w:pPr>
        <w:pStyle w:val="ListBullet"/>
        <w:spacing w:before="0" w:after="0" w:line="360" w:lineRule="auto"/>
        <w:ind w:firstLine="0" w:left="420"/>
        <w:jc w:val="both"/>
      </w:pPr>
      <w:r>
        <w:rPr>
          <w:rFonts w:ascii="Times New Roman" w:hAnsi="Times New Roman" w:eastAsia="宋体"/>
          <w:b w:val="0"/>
          <w:i w:val="0"/>
          <w:color w:val="000000"/>
          <w:sz w:val="24"/>
        </w:rPr>
        <w:t>动作：工序样板、首件样板经建设、监理、施工三方验收；投标阶段先完成一个标段的报价样板再统筹。</w:t>
      </w:r>
    </w:p>
    <w:p>
      <w:pPr>
        <w:pStyle w:val="ListBullet"/>
        <w:spacing w:before="0" w:after="0" w:line="360" w:lineRule="auto"/>
        <w:ind w:firstLine="0" w:left="420"/>
        <w:jc w:val="both"/>
      </w:pPr>
      <w:r>
        <w:rPr>
          <w:rFonts w:ascii="Times New Roman" w:hAnsi="Times New Roman" w:eastAsia="宋体"/>
          <w:b w:val="0"/>
          <w:i w:val="0"/>
          <w:color w:val="000000"/>
          <w:sz w:val="24"/>
        </w:rPr>
        <w:t>反例：不做样板就大面积施工，出了开裂、空鼓、渗漏再大面积返工；样板不验收、不交底，等于没做。</w:t>
      </w:r>
    </w:p>
    <w:p>
      <w:pPr>
        <w:pStyle w:val="sec_head"/>
      </w:pPr>
      <w:r>
        <w:t>2.7　第五步·组织群众：把责任落到班组和岗位</w:t>
      </w:r>
    </w:p>
    <w:p>
      <w:pPr>
        <w:spacing w:before="0" w:after="0" w:line="360" w:lineRule="auto"/>
        <w:ind w:firstLine="480"/>
        <w:jc w:val="both"/>
      </w:pPr>
      <w:r>
        <w:rPr>
          <w:rFonts w:ascii="Times New Roman" w:hAnsi="Times New Roman" w:eastAsia="宋体"/>
          <w:b w:val="0"/>
          <w:i w:val="0"/>
          <w:color w:val="000000"/>
          <w:sz w:val="24"/>
        </w:rPr>
        <w:t>目标定了，靠谁实现？靠班组、靠一线每个工人。毛泽东同志讲“从群众中来，到群众中去”，施工管理的群众路线，就是把进度、安全、质量、成本目标逐级分解到项目部、班组、岗位、个人，交底到人头、考核到人头，同时听取一线意见——利润的水分在班组里，安全的漏洞也在班组里。项目不派自己的管理机构和五类关键人员，只靠挂靠队伍“以包代管”，就是放弃了组织群众这一步。</w:t>
      </w:r>
    </w:p>
    <w:p>
      <w:pPr>
        <w:pStyle w:val="ListBullet"/>
        <w:spacing w:before="0" w:after="0" w:line="360" w:lineRule="auto"/>
        <w:ind w:firstLine="0" w:left="420"/>
        <w:jc w:val="both"/>
      </w:pPr>
      <w:r>
        <w:rPr>
          <w:rFonts w:ascii="Times New Roman" w:hAnsi="Times New Roman" w:eastAsia="宋体"/>
          <w:b w:val="0"/>
          <w:i w:val="0"/>
          <w:color w:val="000000"/>
          <w:sz w:val="24"/>
        </w:rPr>
        <w:t>方法：责任矩阵（谁负责、谁配合、谁监督）＋书面交底＋实名制到岗＋考核兑现。</w:t>
      </w:r>
    </w:p>
    <w:p>
      <w:pPr>
        <w:pStyle w:val="ListBullet"/>
        <w:spacing w:before="0" w:after="0" w:line="360" w:lineRule="auto"/>
        <w:ind w:firstLine="0" w:left="420"/>
        <w:jc w:val="both"/>
      </w:pPr>
      <w:r>
        <w:rPr>
          <w:rFonts w:ascii="Times New Roman" w:hAnsi="Times New Roman" w:eastAsia="宋体"/>
          <w:b w:val="0"/>
          <w:i w:val="0"/>
          <w:color w:val="000000"/>
          <w:sz w:val="24"/>
        </w:rPr>
        <w:t>动作：进度、安全、质量责任分解表；班前讲话、安全技术交底全员签字；工资专户实名代发。</w:t>
      </w:r>
    </w:p>
    <w:p>
      <w:pPr>
        <w:pStyle w:val="ListBullet"/>
        <w:spacing w:before="0" w:after="0" w:line="360" w:lineRule="auto"/>
        <w:ind w:firstLine="0" w:left="420"/>
        <w:jc w:val="both"/>
      </w:pPr>
      <w:r>
        <w:rPr>
          <w:rFonts w:ascii="Times New Roman" w:hAnsi="Times New Roman" w:eastAsia="宋体"/>
          <w:b w:val="0"/>
          <w:i w:val="0"/>
          <w:color w:val="000000"/>
          <w:sz w:val="24"/>
        </w:rPr>
        <w:t>反例：责任只挂在墙上不落人；只压任务不交方法、不听班组意见；以包代管、包而不管，最后失控。</w:t>
      </w:r>
    </w:p>
    <w:p>
      <w:pPr>
        <w:pStyle w:val="sec_head"/>
      </w:pPr>
      <w:r>
        <w:t>2.8　第六步·检查复盘：实践、认识、再实践、再认识</w:t>
      </w:r>
    </w:p>
    <w:p>
      <w:pPr>
        <w:spacing w:before="0" w:after="0" w:line="360" w:lineRule="auto"/>
        <w:ind w:firstLine="480"/>
        <w:jc w:val="both"/>
      </w:pPr>
      <w:r>
        <w:rPr>
          <w:rFonts w:ascii="Times New Roman" w:hAnsi="Times New Roman" w:eastAsia="宋体"/>
          <w:b w:val="0"/>
          <w:i w:val="0"/>
          <w:color w:val="000000"/>
          <w:sz w:val="24"/>
        </w:rPr>
        <w:t>决策和执行得对不对，要靠检查和复盘来检验，这是《实践论》“实践、认识、再实践、再认识”的循环。项目要按节点检查对照目标找偏差，月度复盘、节点复盘、竣工复盘，把“哪些做对了要固化、哪些做错了要纠正”形成结论，整改闭环，并把经验沉淀为制度、模板和企业数据库。复盘不是念成绩，而是找问题、定措施、定责任人。</w:t>
      </w:r>
    </w:p>
    <w:p>
      <w:pPr>
        <w:pStyle w:val="ListBullet"/>
        <w:spacing w:before="0" w:after="0" w:line="360" w:lineRule="auto"/>
        <w:ind w:firstLine="0" w:left="420"/>
        <w:jc w:val="both"/>
      </w:pPr>
      <w:r>
        <w:rPr>
          <w:rFonts w:ascii="Times New Roman" w:hAnsi="Times New Roman" w:eastAsia="宋体"/>
          <w:b w:val="0"/>
          <w:i w:val="0"/>
          <w:color w:val="000000"/>
          <w:sz w:val="24"/>
        </w:rPr>
        <w:t>方法：对照目标找偏差→分析原因→定纠偏措施→复查销号→固化为标准/工具。</w:t>
      </w:r>
    </w:p>
    <w:p>
      <w:pPr>
        <w:pStyle w:val="ListBullet"/>
        <w:spacing w:before="0" w:after="0" w:line="360" w:lineRule="auto"/>
        <w:ind w:firstLine="0" w:left="420"/>
        <w:jc w:val="both"/>
      </w:pPr>
      <w:r>
        <w:rPr>
          <w:rFonts w:ascii="Times New Roman" w:hAnsi="Times New Roman" w:eastAsia="宋体"/>
          <w:b w:val="0"/>
          <w:i w:val="0"/>
          <w:color w:val="000000"/>
          <w:sz w:val="24"/>
        </w:rPr>
        <w:t>动作：月度成本分析会、安全检查整改闭环、投标复盘、竣工后评价；整改项五落实并复查。</w:t>
      </w:r>
    </w:p>
    <w:p>
      <w:pPr>
        <w:pStyle w:val="ListBullet"/>
        <w:spacing w:before="0" w:after="0" w:line="360" w:lineRule="auto"/>
        <w:ind w:firstLine="0" w:left="420"/>
        <w:jc w:val="both"/>
      </w:pPr>
      <w:r>
        <w:rPr>
          <w:rFonts w:ascii="Times New Roman" w:hAnsi="Times New Roman" w:eastAsia="宋体"/>
          <w:b w:val="0"/>
          <w:i w:val="0"/>
          <w:color w:val="000000"/>
          <w:sz w:val="24"/>
        </w:rPr>
        <w:t>反例：只布置不检查、只检查不整改；出了事才复盘；复盘结论锁进抽屉，下次照样犯同样的错。</w:t>
      </w:r>
    </w:p>
    <w:p>
      <w:pPr>
        <w:pStyle w:val="sec_head"/>
      </w:pPr>
      <w:r>
        <w:t>2.9　六步在施工全流程中的对应</w:t>
      </w:r>
    </w:p>
    <w:p>
      <w:pPr>
        <w:spacing w:before="0" w:after="0" w:line="360" w:lineRule="auto"/>
        <w:ind w:firstLine="480"/>
        <w:jc w:val="both"/>
      </w:pPr>
      <w:r>
        <w:rPr>
          <w:rFonts w:ascii="Times New Roman" w:hAnsi="Times New Roman" w:eastAsia="宋体"/>
          <w:b w:val="0"/>
          <w:i w:val="0"/>
          <w:color w:val="000000"/>
          <w:sz w:val="24"/>
        </w:rPr>
        <w:t>为便于落地，本指导书把六步工作法与项目全流程对应如下，后文各章均按此逻辑展开：</w:t>
      </w:r>
    </w:p>
    <w:p>
      <w:pPr>
        <w:keepNext/>
        <w:spacing w:before="80" w:after="40" w:line="288" w:lineRule="auto"/>
        <w:ind w:firstLine="0"/>
        <w:jc w:val="center"/>
      </w:pPr>
      <w:r>
        <w:rPr>
          <w:rFonts w:ascii="Times New Roman" w:hAnsi="Times New Roman" w:eastAsia="黑体"/>
          <w:b/>
          <w:i w:val="0"/>
          <w:color w:val="000000"/>
          <w:sz w:val="21"/>
        </w:rPr>
        <w:t>表2-1　六步工作法在项目全流程的对应关系</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步骤</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核心问题</w:t>
            </w:r>
          </w:p>
        </w:tc>
        <w:tc>
          <w:tcPr>
            <w:tcW w:type="dxa" w:w="17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投标/合同阶段</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准备/施工阶段</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收尾/结算阶段</w:t>
            </w:r>
          </w:p>
        </w:tc>
        <w:tc>
          <w:tcPr>
            <w:tcW w:type="dxa" w:w="187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典型工具（见对应附件）</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一·调查</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情况清不清？</w:t>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查招标条件、业主资信、清单图纸</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查现场、地质、周边、资源</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查竣工资料、变更签证、应收</w:t>
            </w:r>
          </w:p>
        </w:tc>
        <w:tc>
          <w:tcPr>
            <w:tcW w:type="dxa" w:w="187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资信调查、现场踏勘、清单复核表</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二·分析</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主要矛盾是什么？</w:t>
            </w:r>
          </w:p>
        </w:tc>
        <w:tc>
          <w:tcPr>
            <w:tcW w:type="dxa" w:w="175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分析盈亏点、风险点、现金流</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分析进度、安全、质量、成本矛盾</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分析结算争议、回款障碍</w:t>
            </w:r>
          </w:p>
        </w:tc>
        <w:tc>
          <w:tcPr>
            <w:tcW w:type="dxa" w:w="187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成本测算、风险分级、索赔台账</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三·决策</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目标和打法？</w:t>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定报价、定投标策略、定合同底线</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定施组、资源计划、关键线路</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定结算策略、优先受偿安排</w:t>
            </w:r>
          </w:p>
        </w:tc>
        <w:tc>
          <w:tcPr>
            <w:tcW w:type="dxa" w:w="187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施组方案、进度计划、资金计划</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四·试点</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样板先行？</w:t>
            </w:r>
          </w:p>
        </w:tc>
        <w:tc>
          <w:tcPr>
            <w:tcW w:type="dxa" w:w="175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先做投标评审、合同交底</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样板引路、危大方案论证</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先做一户/一段验收样板</w:t>
            </w:r>
          </w:p>
        </w:tc>
        <w:tc>
          <w:tcPr>
            <w:tcW w:type="dxa" w:w="187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样板引路、首件验收、专家论证</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五·组织</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谁来干、怎么干？</w:t>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组建投标与谈判班子</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项目班子、班组、安全质量责任</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结算专班、分工到人</w:t>
            </w:r>
          </w:p>
        </w:tc>
        <w:tc>
          <w:tcPr>
            <w:tcW w:type="dxa" w:w="187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岗位责任、实名制、任务分解</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六·复盘</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总结改进？</w:t>
            </w:r>
          </w:p>
        </w:tc>
        <w:tc>
          <w:tcPr>
            <w:tcW w:type="dxa" w:w="175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投标复盘、合同评审归档</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月度/节点复盘、隐患整改闭环</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竣工复盘、结算后评价</w:t>
            </w:r>
          </w:p>
        </w:tc>
        <w:tc>
          <w:tcPr>
            <w:tcW w:type="dxa" w:w="187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复盘表、整改闭环、经验库</w:t>
            </w:r>
          </w:p>
        </w:tc>
      </w:tr>
    </w:tbl>
    <w:p>
      <w:pPr>
        <w:spacing w:before="20" w:after="80" w:line="288" w:lineRule="auto"/>
        <w:ind w:firstLine="0"/>
        <w:jc w:val="left"/>
      </w:pPr>
      <w:r>
        <w:rPr>
          <w:rFonts w:ascii="Times New Roman" w:hAnsi="Times New Roman" w:eastAsia="宋体"/>
          <w:b w:val="0"/>
          <w:i w:val="0"/>
          <w:color w:val="404040"/>
          <w:sz w:val="18"/>
        </w:rPr>
        <w:t>依据：《实践论》《矛盾论》《反对本本主义》《关于领导方法的若干问题》等著作中的工作方法；本指导书将其工程化、表格化，具体专业要求以现行法规、标准及合同约定为准。</w:t>
      </w:r>
    </w:p>
    <w:p>
      <w:pPr>
        <w:pStyle w:val="sec_head"/>
      </w:pPr>
      <w:r>
        <w:t>2.10　本章小结</w:t>
      </w:r>
    </w:p>
    <w:p>
      <w:pPr>
        <w:spacing w:before="0" w:after="0" w:line="360" w:lineRule="auto"/>
        <w:ind w:firstLine="480"/>
        <w:jc w:val="both"/>
      </w:pPr>
      <w:r>
        <w:rPr>
          <w:rFonts w:ascii="Times New Roman" w:hAnsi="Times New Roman" w:eastAsia="宋体"/>
          <w:b w:val="0"/>
          <w:i w:val="0"/>
          <w:color w:val="000000"/>
          <w:sz w:val="24"/>
        </w:rPr>
        <w:t>六步工作法是全书的“总开关”。任何一项工作，只要按“调查—分析—决策—试点—组织—复盘”走一遍，并保留相应记录，就能避免盲目决策、过程失控和事后无据。下一章说明如何使用本指导书及全部配套工具。</w:t>
      </w:r>
    </w:p>
    <w:p>
      <w:pPr>
        <w:pStyle w:val="attach_div"/>
        <w:pageBreakBefore/>
        <w:jc w:val="center"/>
      </w:pPr>
      <w:r>
        <w:t>第2章　章末附件</w:t>
      </w:r>
    </w:p>
    <w:p>
      <w:pPr>
        <w:spacing w:before="0" w:after="0" w:line="360" w:lineRule="auto"/>
        <w:ind w:firstLine="480"/>
        <w:jc w:val="both"/>
      </w:pPr>
      <w:r>
        <w:rPr>
          <w:rFonts w:ascii="Times New Roman" w:hAnsi="Times New Roman" w:eastAsia="宋体"/>
          <w:b w:val="0"/>
          <w:i w:val="0"/>
          <w:color w:val="000000"/>
          <w:sz w:val="24"/>
        </w:rPr>
        <w:t>本页之后为《总方法：六步工作法》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51" w:name="_LarkToc00051"/>
      <w:r>
        <w:t>附件2-1　六步工作法项目应用推演表（空白模板）</w:t>
      </w:r>
      <w:bookmarkEnd w:id="51"/>
    </w:p>
    <w:p>
      <w:pPr>
        <w:spacing w:before="0" w:after="40" w:line="312" w:lineRule="auto"/>
        <w:ind w:firstLine="0"/>
        <w:jc w:val="left"/>
      </w:pPr>
      <w:r>
        <w:rPr>
          <w:rFonts w:ascii="Times New Roman" w:hAnsi="Times New Roman" w:eastAsia="宋体"/>
          <w:b w:val="0"/>
          <w:i w:val="0"/>
          <w:color w:val="595959"/>
          <w:sz w:val="18"/>
        </w:rPr>
        <w:t>【归属】第2章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【用途】每承接一个新项目、或处理一个重大专项（如抢工期、大额索赔、重大隐患治理）时，由项目负责人组织班子成员逐栏填写并签字确认。填不出来的步骤，说明该环节还没有想清楚，不得进入下一环节。</w:t>
      </w:r>
    </w:p>
    <w:p>
      <w:pPr>
        <w:keepNext/>
        <w:spacing w:before="80" w:after="40" w:line="288" w:lineRule="auto"/>
        <w:ind w:firstLine="0"/>
        <w:jc w:val="center"/>
      </w:pPr>
      <w:r>
        <w:rPr>
          <w:rFonts w:ascii="Times New Roman" w:hAnsi="Times New Roman" w:eastAsia="黑体"/>
          <w:b/>
          <w:i w:val="0"/>
          <w:color w:val="000000"/>
          <w:sz w:val="21"/>
        </w:rPr>
        <w:t>表2-1　六步工作法推演记录表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步骤</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本步骤要回答的问题</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事实/数据（写清来源与时间）</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结论与判断</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完成时限</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复核签字</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一·调查</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现场、合同、对手、自身四本账摸清了吗？</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二·分析</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主要矛盾是什么？关键风险点、亏点、争点？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三·决策</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目标、阶段、资源投放、退路各是什么？</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四·试点</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先在哪个部位/班组做样板？验收标准？</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五·组织</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如何分解到班组、岗位、个人？如何发动？</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六·复盘</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结果如何？哪些要固化、哪些要纠正？</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bl>
    <w:p>
      <w:pPr>
        <w:spacing w:before="20" w:after="80" w:line="288" w:lineRule="auto"/>
        <w:ind w:firstLine="0"/>
        <w:jc w:val="left"/>
      </w:pPr>
      <w:r>
        <w:rPr>
          <w:rFonts w:ascii="Times New Roman" w:hAnsi="Times New Roman" w:eastAsia="宋体"/>
          <w:b w:val="0"/>
          <w:i w:val="0"/>
          <w:color w:val="404040"/>
          <w:sz w:val="18"/>
        </w:rPr>
        <w:t>填写要求：1.“事实/数据”一栏必须写明来源（如合同第X条、图纸、现场照片、台账、会议纪要），禁止写“大概”“可能”。2.本表一式一份归入项目管理档案，与对应附件（投标、施组、安全、结算等）配套使用。</w:t>
      </w:r>
    </w:p>
    <w:p>
      <w:pPr>
        <w:pStyle w:val="Heading3"/>
        <w:pageBreakBefore/>
        <w:spacing w:before="120"/>
      </w:pPr>
      <w:bookmarkStart w:id="52" w:name="_LarkToc00052"/>
      <w:r>
        <w:t>附件2-2　调查信息清单与调研模板（四本账）</w:t>
      </w:r>
      <w:bookmarkEnd w:id="52"/>
    </w:p>
    <w:p>
      <w:pPr>
        <w:spacing w:before="0" w:after="40" w:line="312" w:lineRule="auto"/>
        <w:ind w:firstLine="0"/>
        <w:jc w:val="left"/>
      </w:pPr>
      <w:r>
        <w:rPr>
          <w:rFonts w:ascii="Times New Roman" w:hAnsi="Times New Roman" w:eastAsia="宋体"/>
          <w:b w:val="0"/>
          <w:i w:val="0"/>
          <w:color w:val="595959"/>
          <w:sz w:val="18"/>
        </w:rPr>
        <w:t>【归属】第2章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【用途】投标决策前或承接重大专项时，由项目负责人带队按五类调查对象逐项收集信息，凡“是否已取得”为否的，不得进入决策环节；关键来源须留存查询截图、踏勘影像与日期。</w:t>
      </w:r>
    </w:p>
    <w:p>
      <w:pPr>
        <w:keepNext/>
        <w:spacing w:before="80" w:after="40" w:line="288" w:lineRule="auto"/>
        <w:ind w:firstLine="0"/>
        <w:jc w:val="center"/>
      </w:pPr>
      <w:r>
        <w:rPr>
          <w:rFonts w:ascii="Times New Roman" w:hAnsi="Times New Roman" w:eastAsia="黑体"/>
          <w:b/>
          <w:i w:val="0"/>
          <w:color w:val="000000"/>
          <w:sz w:val="21"/>
        </w:rPr>
        <w:t>表2-2　调查信息清单与调研模板</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调查类别</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需获取的信息/数据</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来源/渠道</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获取方式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是否已取得</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（示例）业主资信</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业主涉诉、被执行、历史付款记录</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裁判文书网/执行信息公开网</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公开查询并截图留痕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商务经理</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市场环境</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区域新开工量、投资动向、对手格局、人工材料价格走势</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行业主管部门、造价信息、市场走访</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案头研究＋走访</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业主/发包人</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资信状况、资金来源是否落实、历史履约、立项用地规划手续</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信用公示系统、立项与资金证明、发函核实</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查询＋发函</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现场条件</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地形地质、地下水、周边环境、临水临电、场内运输、弃土取土场</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地勘报告、现场踏勘</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踏勘＋影像定位</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竞争对手</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潜在投标人、历史中标价、与业主关系、投标策略</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公开中标数据、市场走访</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收集分析</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自身家底</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在手任务、人材机富余、企业成本库、可动用现金流</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企业内部经营与财务台账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内部取数</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注：示例行仅说明填写方法，使用时删除；“是否已取得”为否的项目须注明补取时限与责任人；调查结果与附件4-1业主资信调查表、附件4-3现场踏勘记录衔接使用。</w:t>
      </w:r>
    </w:p>
    <w:p>
      <w:pPr>
        <w:pStyle w:val="Heading3"/>
        <w:pageBreakBefore/>
        <w:spacing w:before="120"/>
      </w:pPr>
      <w:bookmarkStart w:id="53" w:name="_LarkToc00053"/>
      <w:r>
        <w:t>附件2-3　决策方案对比与决策矩阵表</w:t>
      </w:r>
      <w:bookmarkEnd w:id="53"/>
    </w:p>
    <w:p>
      <w:pPr>
        <w:spacing w:before="0" w:after="40" w:line="312" w:lineRule="auto"/>
        <w:ind w:firstLine="0"/>
        <w:jc w:val="left"/>
      </w:pPr>
      <w:r>
        <w:rPr>
          <w:rFonts w:ascii="Times New Roman" w:hAnsi="Times New Roman" w:eastAsia="宋体"/>
          <w:b w:val="0"/>
          <w:i w:val="0"/>
          <w:color w:val="595959"/>
          <w:sz w:val="18"/>
        </w:rPr>
        <w:t>【归属】第2章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【用途】凡投标、定价、承接或放弃项目等重大决策，至少提出两个方案，按五个维度加权打分后集体签署。权重合计100%，出现“不可承受风险”项时该方案直接否决，不得加权凑分。</w:t>
      </w:r>
    </w:p>
    <w:p>
      <w:pPr>
        <w:keepNext/>
        <w:spacing w:before="80" w:after="40" w:line="288" w:lineRule="auto"/>
        <w:ind w:firstLine="0"/>
        <w:jc w:val="center"/>
      </w:pPr>
      <w:r>
        <w:rPr>
          <w:rFonts w:ascii="Times New Roman" w:hAnsi="Times New Roman" w:eastAsia="黑体"/>
          <w:b/>
          <w:i w:val="0"/>
          <w:color w:val="000000"/>
          <w:sz w:val="21"/>
        </w:rPr>
        <w:t>表2-3-1　决策矩阵打分表（各维度按1—10分）</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评估维度</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权重</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方案一得分</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方案二得分</w:t>
            </w:r>
          </w:p>
        </w:tc>
        <w:tc>
          <w:tcPr>
            <w:tcW w:type="dxa" w:w="317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评分要点</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（示例）成本</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25%</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8</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6</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以保本测算价为准，越低分越高</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成本</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25%</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目标成本、下浮空间、资金成本</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收益</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25%</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预期利润、战略与业绩价值</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风险</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20%</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安全质量、合规、业主违约风险，不可承受即否决</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现金流</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20%</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垫资规模、回款周期、缺口</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可行性</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资质业绩、工期、人材机资源保障</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加权合计</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100%</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Σ（权重×得分），分高者优先</w:t>
            </w:r>
          </w:p>
        </w:tc>
      </w:tr>
    </w:tbl>
    <w:p>
      <w:pPr>
        <w:keepNext/>
        <w:spacing w:before="80" w:after="40" w:line="288" w:lineRule="auto"/>
        <w:ind w:firstLine="0"/>
        <w:jc w:val="center"/>
      </w:pPr>
      <w:r>
        <w:rPr>
          <w:rFonts w:ascii="Times New Roman" w:hAnsi="Times New Roman" w:eastAsia="黑体"/>
          <w:b/>
          <w:i w:val="0"/>
          <w:color w:val="000000"/>
          <w:sz w:val="21"/>
        </w:rPr>
        <w:t>表2-3-2　决策签署表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决策事项</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比选方案</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加权结果</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决策结论</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主持人/日期</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参会成员签字</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□选方案一 □选方案二 □放弃/不投</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注：权重可按项目特点调整但合计必须为100%；示例行用后删除。决策须留痕归档，与附件4-6投标决策评审表配套。</w:t>
      </w:r>
    </w:p>
    <w:p>
      <w:pPr>
        <w:pStyle w:val="Heading2"/>
        <w:pageBreakBefore/>
      </w:pPr>
      <w:bookmarkStart w:id="4" w:name="_LarkToc00004"/>
      <w:r>
        <w:t>第3章　指导书使用说明：以魂统体、即查即用、对照复盘</w:t>
      </w:r>
      <w:bookmarkEnd w:id="4"/>
    </w:p>
    <w:p>
      <w:pPr>
        <w:pStyle w:val="sec_head"/>
      </w:pPr>
      <w:r>
        <w:t>3.1　定位与结构</w:t>
      </w:r>
    </w:p>
    <w:p>
      <w:pPr>
        <w:spacing w:before="0" w:after="0" w:line="360" w:lineRule="auto"/>
        <w:ind w:firstLine="480"/>
        <w:jc w:val="both"/>
      </w:pPr>
      <w:r>
        <w:rPr>
          <w:rFonts w:ascii="Times New Roman" w:hAnsi="Times New Roman" w:eastAsia="宋体"/>
          <w:b w:val="0"/>
          <w:i w:val="0"/>
          <w:color w:val="000000"/>
          <w:sz w:val="24"/>
        </w:rPr>
        <w:t>本指导书是一本“方法论＋全流程＋可执行工具”的企业内部工作手册。全书分五篇，并设附册：</w:t>
      </w:r>
    </w:p>
    <w:p>
      <w:pPr>
        <w:pStyle w:val="ListBullet"/>
        <w:spacing w:before="0" w:after="0" w:line="360" w:lineRule="auto"/>
        <w:ind w:firstLine="0" w:left="420"/>
        <w:jc w:val="both"/>
      </w:pPr>
      <w:r>
        <w:rPr>
          <w:rFonts w:ascii="Times New Roman" w:hAnsi="Times New Roman" w:eastAsia="宋体"/>
          <w:b w:val="0"/>
          <w:i w:val="0"/>
          <w:color w:val="000000"/>
          <w:sz w:val="24"/>
        </w:rPr>
        <w:t>第一篇·思想篇（第1—3章）：解决“怎么看、用什么方法”，即实事求是与六步工作法。</w:t>
      </w:r>
    </w:p>
    <w:p>
      <w:pPr>
        <w:pStyle w:val="ListBullet"/>
        <w:spacing w:before="0" w:after="0" w:line="360" w:lineRule="auto"/>
        <w:ind w:firstLine="0" w:left="420"/>
        <w:jc w:val="both"/>
      </w:pPr>
      <w:r>
        <w:rPr>
          <w:rFonts w:ascii="Times New Roman" w:hAnsi="Times New Roman" w:eastAsia="宋体"/>
          <w:b w:val="0"/>
          <w:i w:val="0"/>
          <w:color w:val="000000"/>
          <w:sz w:val="24"/>
        </w:rPr>
        <w:t>第二篇·业务篇（第4—11章）：按招投标、合同、开工准备、施工过程、收尾验收、竣工结算、质保的全流程展开，是“体”。</w:t>
      </w:r>
    </w:p>
    <w:p>
      <w:pPr>
        <w:pStyle w:val="ListBullet"/>
        <w:spacing w:before="0" w:after="0" w:line="360" w:lineRule="auto"/>
        <w:ind w:firstLine="0" w:left="420"/>
        <w:jc w:val="both"/>
      </w:pPr>
      <w:r>
        <w:rPr>
          <w:rFonts w:ascii="Times New Roman" w:hAnsi="Times New Roman" w:eastAsia="宋体"/>
          <w:b w:val="0"/>
          <w:i w:val="0"/>
          <w:color w:val="000000"/>
          <w:sz w:val="24"/>
        </w:rPr>
        <w:t>第三篇·生命线篇（第12—14章）：证据链、台账与时效、现金流与合规，是贯穿全流程的“三条生命线”。</w:t>
      </w:r>
    </w:p>
    <w:p>
      <w:pPr>
        <w:pStyle w:val="ListBullet"/>
        <w:spacing w:before="0" w:after="0" w:line="360" w:lineRule="auto"/>
        <w:ind w:firstLine="0" w:left="420"/>
        <w:jc w:val="both"/>
      </w:pPr>
      <w:r>
        <w:rPr>
          <w:rFonts w:ascii="Times New Roman" w:hAnsi="Times New Roman" w:eastAsia="宋体"/>
          <w:b w:val="0"/>
          <w:i w:val="0"/>
          <w:color w:val="000000"/>
          <w:sz w:val="24"/>
        </w:rPr>
        <w:t>第四篇·战略篇（第15—19章）：持久战、差异化选场、转型突围、安全质量底线、队伍建设。</w:t>
      </w:r>
    </w:p>
    <w:p>
      <w:pPr>
        <w:pStyle w:val="ListBullet"/>
        <w:spacing w:before="0" w:after="0" w:line="360" w:lineRule="auto"/>
        <w:ind w:firstLine="0" w:left="420"/>
        <w:jc w:val="both"/>
      </w:pPr>
      <w:r>
        <w:rPr>
          <w:rFonts w:ascii="Times New Roman" w:hAnsi="Times New Roman" w:eastAsia="宋体"/>
          <w:b w:val="0"/>
          <w:i w:val="0"/>
          <w:color w:val="000000"/>
          <w:sz w:val="24"/>
        </w:rPr>
        <w:t>第五篇·方法篇（第20—23章）：班子“弹钢琴”、调查研究、复盘与自我革命、作风建设。</w:t>
      </w:r>
    </w:p>
    <w:p>
      <w:pPr>
        <w:pStyle w:val="ListBullet"/>
        <w:spacing w:before="0" w:after="0" w:line="360" w:lineRule="auto"/>
        <w:ind w:firstLine="0" w:left="420"/>
        <w:jc w:val="both"/>
      </w:pPr>
      <w:r>
        <w:rPr>
          <w:rFonts w:ascii="Times New Roman" w:hAnsi="Times New Roman" w:eastAsia="宋体"/>
          <w:b w:val="0"/>
          <w:i w:val="0"/>
          <w:color w:val="000000"/>
          <w:sz w:val="24"/>
        </w:rPr>
        <w:t>附册：毛选思维×全流程对照总图、十二张战法卡（施工版）、全部空白模板汇编、法规标准引用核查表。</w:t>
      </w:r>
    </w:p>
    <w:p>
      <w:pPr>
        <w:pStyle w:val="sec_head"/>
      </w:pPr>
      <w:r>
        <w:t>3.2　正文与章末附件的编排规则</w:t>
      </w:r>
    </w:p>
    <w:p>
      <w:pPr>
        <w:spacing w:before="0" w:after="0" w:line="360" w:lineRule="auto"/>
        <w:ind w:firstLine="480"/>
        <w:jc w:val="both"/>
      </w:pPr>
      <w:r>
        <w:rPr>
          <w:rFonts w:ascii="Times New Roman" w:hAnsi="Times New Roman" w:eastAsia="宋体"/>
          <w:b w:val="0"/>
          <w:i w:val="0"/>
          <w:color w:val="000000"/>
          <w:sz w:val="24"/>
        </w:rPr>
        <w:t>为避免大量表格挤占正文的思路走向，本书采用“正文讲清道理和要求，章末附件提供拿来即用的工具”的编排方式：</w:t>
      </w:r>
    </w:p>
    <w:p>
      <w:pPr>
        <w:pStyle w:val="ListBullet"/>
        <w:spacing w:before="0" w:after="0" w:line="360" w:lineRule="auto"/>
        <w:ind w:firstLine="0" w:left="420"/>
        <w:jc w:val="both"/>
      </w:pPr>
      <w:r>
        <w:rPr>
          <w:rFonts w:ascii="Times New Roman" w:hAnsi="Times New Roman" w:eastAsia="宋体"/>
          <w:b w:val="0"/>
          <w:i w:val="0"/>
          <w:color w:val="000000"/>
          <w:sz w:val="24"/>
        </w:rPr>
        <w:t>正文回答“为什么、做什么、谁来做、何时做、依据什么”；附件回答“具体怎么做、用什么表、填什么数”。</w:t>
      </w:r>
    </w:p>
    <w:p>
      <w:pPr>
        <w:pStyle w:val="ListBullet"/>
        <w:spacing w:before="0" w:after="0" w:line="360" w:lineRule="auto"/>
        <w:ind w:firstLine="0" w:left="420"/>
        <w:jc w:val="both"/>
      </w:pPr>
      <w:r>
        <w:rPr>
          <w:rFonts w:ascii="Times New Roman" w:hAnsi="Times New Roman" w:eastAsia="宋体"/>
          <w:b w:val="0"/>
          <w:i w:val="0"/>
          <w:color w:val="000000"/>
          <w:sz w:val="24"/>
        </w:rPr>
        <w:t>附件按“章-序”编号（如附件4-1，即第4章第1件），每件单独成页、跨页不与正文混排。</w:t>
      </w:r>
    </w:p>
    <w:p>
      <w:pPr>
        <w:pStyle w:val="ListBullet"/>
        <w:spacing w:before="0" w:after="0" w:line="360" w:lineRule="auto"/>
        <w:ind w:firstLine="0" w:left="420"/>
        <w:jc w:val="both"/>
      </w:pPr>
      <w:r>
        <w:rPr>
          <w:rFonts w:ascii="Times New Roman" w:hAnsi="Times New Roman" w:eastAsia="宋体"/>
          <w:b w:val="0"/>
          <w:i w:val="0"/>
          <w:color w:val="000000"/>
          <w:sz w:val="24"/>
        </w:rPr>
        <w:t>每件附件一般包含：使用说明、填表依据、示范行（灰色或标注“示例”）、空白模板（可复印加行）。</w:t>
      </w:r>
    </w:p>
    <w:p>
      <w:pPr>
        <w:pStyle w:val="ListBullet"/>
        <w:spacing w:before="0" w:after="0" w:line="360" w:lineRule="auto"/>
        <w:ind w:firstLine="0" w:left="420"/>
        <w:jc w:val="both"/>
      </w:pPr>
      <w:r>
        <w:rPr>
          <w:rFonts w:ascii="Times New Roman" w:hAnsi="Times New Roman" w:eastAsia="宋体"/>
          <w:b w:val="0"/>
          <w:i w:val="0"/>
          <w:color w:val="000000"/>
          <w:sz w:val="24"/>
        </w:rPr>
        <w:t>全书前置《附件索引》，可按编号快速跳页；附册另有全部空白模板汇编，便于集中复印。</w:t>
      </w:r>
    </w:p>
    <w:p>
      <w:pPr>
        <w:pStyle w:val="sec_head"/>
      </w:pPr>
      <w:r>
        <w:t>3.3　三种使用方式</w:t>
      </w:r>
    </w:p>
    <w:p>
      <w:pPr>
        <w:pStyle w:val="ListBullet"/>
        <w:spacing w:before="0" w:after="0" w:line="360" w:lineRule="auto"/>
        <w:ind w:firstLine="0" w:left="420"/>
        <w:jc w:val="both"/>
      </w:pPr>
      <w:r>
        <w:rPr>
          <w:rFonts w:ascii="Times New Roman" w:hAnsi="Times New Roman" w:eastAsia="宋体"/>
          <w:b w:val="0"/>
          <w:i w:val="0"/>
          <w:color w:val="000000"/>
          <w:sz w:val="24"/>
        </w:rPr>
        <w:t>系统学习：新入职项目经理、后备干部从第一篇通读，建立“方法论＋全流程”整体认知。</w:t>
      </w:r>
    </w:p>
    <w:p>
      <w:pPr>
        <w:pStyle w:val="ListBullet"/>
        <w:spacing w:before="0" w:after="0" w:line="360" w:lineRule="auto"/>
        <w:ind w:firstLine="0" w:left="420"/>
        <w:jc w:val="both"/>
      </w:pPr>
      <w:r>
        <w:rPr>
          <w:rFonts w:ascii="Times New Roman" w:hAnsi="Times New Roman" w:eastAsia="宋体"/>
          <w:b w:val="0"/>
          <w:i w:val="0"/>
          <w:color w:val="000000"/>
          <w:sz w:val="24"/>
        </w:rPr>
        <w:t>即查即用：在岗人员按当前所处阶段，直接翻到对应章节，打印该章附件投入使用。</w:t>
      </w:r>
    </w:p>
    <w:p>
      <w:pPr>
        <w:pStyle w:val="ListBullet"/>
        <w:spacing w:before="0" w:after="0" w:line="360" w:lineRule="auto"/>
        <w:ind w:firstLine="0" w:left="420"/>
        <w:jc w:val="both"/>
      </w:pPr>
      <w:r>
        <w:rPr>
          <w:rFonts w:ascii="Times New Roman" w:hAnsi="Times New Roman" w:eastAsia="宋体"/>
          <w:b w:val="0"/>
          <w:i w:val="0"/>
          <w:color w:val="000000"/>
          <w:sz w:val="24"/>
        </w:rPr>
        <w:t>对照复盘：月度会、项目巡查、竣工复盘时，用对应附件逐项核对，发现缺项、漏项、风险点。</w:t>
      </w:r>
    </w:p>
    <w:p>
      <w:pPr>
        <w:pStyle w:val="sec_head"/>
      </w:pPr>
      <w:r>
        <w:t>3.4　角色导航（不同岗位重点看什么）</w:t>
      </w:r>
    </w:p>
    <w:p>
      <w:pPr>
        <w:keepNext/>
        <w:spacing w:before="80" w:after="40" w:line="288" w:lineRule="auto"/>
        <w:ind w:firstLine="0"/>
        <w:jc w:val="center"/>
      </w:pPr>
      <w:r>
        <w:rPr>
          <w:rFonts w:ascii="Times New Roman" w:hAnsi="Times New Roman" w:eastAsia="黑体"/>
          <w:b/>
          <w:i w:val="0"/>
          <w:color w:val="000000"/>
          <w:sz w:val="21"/>
        </w:rPr>
        <w:t>表3-1　岗位角色与重点章节/附件导航</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岗位/角色</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重点章节</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核心附件（示例）</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关键职责提示</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企业负责人/分管领导</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1、14、15、16、17、18、19</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1-1、14-1、15-1、16-1</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定方向、守底线、管现金流、选战场</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项目经理</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2、6、7、8、9、20、22</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2-1、6-1、8-1、9-1、20-1</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全面负责，组织六步，统筹进度安全质量成本</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项目技术负责人</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6、7、9</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6-3、6-4、7-1、9-1</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施组方案、危大工程、技术交底、验收</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安全总监/安全员</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7、18</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7-3至7-11、18-1</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双重预防、隐患排查、危大管控、应急</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质量负责人/质检员</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7、9、11</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7-12至7-15、9-1、11-1</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检验批、样板、质量通病、保修</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商务/合约经理</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4、5、8、10、12</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4-1、5-1、8-7、8-9、10-1、12-1</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投标报价、合同、变更索赔、结算</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财务负责人</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8、10、11、13、14</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8-11、14-1、14-2、13-1</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资金、税务、专户、安全费、质保金</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物资/设备负责人</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6、7、8</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6-7、6-8、8-5、7-9</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采购计划、周转材料、机械设备、租赁</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资料员</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6、9、12、13</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6-9、12-1、13-1</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资料同步、证据归档、台账时效</w:t>
            </w:r>
          </w:p>
        </w:tc>
      </w:tr>
    </w:tbl>
    <w:p>
      <w:pPr>
        <w:pStyle w:val="sec_head"/>
      </w:pPr>
      <w:r>
        <w:t>3.5　使用纪律与免责说明</w:t>
      </w:r>
    </w:p>
    <w:p>
      <w:pPr>
        <w:spacing w:before="0" w:after="0" w:line="360" w:lineRule="auto"/>
        <w:ind w:firstLine="480"/>
        <w:jc w:val="both"/>
      </w:pPr>
      <w:r>
        <w:rPr>
          <w:rFonts w:ascii="Times New Roman" w:hAnsi="Times New Roman" w:eastAsia="宋体"/>
          <w:b w:val="0"/>
          <w:i w:val="0"/>
          <w:color w:val="000000"/>
          <w:sz w:val="24"/>
        </w:rPr>
        <w:t>本指导书引用的法律、行政法规、部门规章及标准规范，均以发布时的现行有效版本为准；各地主管部门可能有更严或更具体的规定，合同专用条款也可能约定更短的期限、更高的比例。凡涉及具体数值、比例、期限、文号的，使用前务必复核项目所在地现行规定及合同约定；表中凡标注“以现行法规及合同专用条款为准”之处，必须结合项目实际确认后填写。本书不替代法定审批、专家论证、专业鉴定和法律意见；涉及重大决策、重大争议的，应依法依规履行相应程序。</w:t>
      </w:r>
    </w:p>
    <w:p>
      <w:pPr>
        <w:pStyle w:val="attach_div"/>
        <w:pageBreakBefore/>
        <w:jc w:val="center"/>
      </w:pPr>
      <w:r>
        <w:t>第3章　章末附件</w:t>
      </w:r>
    </w:p>
    <w:p>
      <w:pPr>
        <w:spacing w:before="0" w:after="0" w:line="360" w:lineRule="auto"/>
        <w:ind w:firstLine="480"/>
        <w:jc w:val="both"/>
      </w:pPr>
      <w:r>
        <w:rPr>
          <w:rFonts w:ascii="Times New Roman" w:hAnsi="Times New Roman" w:eastAsia="宋体"/>
          <w:b w:val="0"/>
          <w:i w:val="0"/>
          <w:color w:val="000000"/>
          <w:sz w:val="24"/>
        </w:rPr>
        <w:t>本页之后为《指导书使用说明》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54" w:name="_LarkToc00054"/>
      <w:r>
        <w:t>附件3-1　全流程×章节×附件总导航表（即查即用地图）</w:t>
      </w:r>
      <w:bookmarkEnd w:id="54"/>
    </w:p>
    <w:p>
      <w:pPr>
        <w:spacing w:before="0" w:after="40" w:line="312" w:lineRule="auto"/>
        <w:ind w:firstLine="0"/>
        <w:jc w:val="left"/>
      </w:pPr>
      <w:r>
        <w:rPr>
          <w:rFonts w:ascii="Times New Roman" w:hAnsi="Times New Roman" w:eastAsia="宋体"/>
          <w:b w:val="0"/>
          <w:i w:val="0"/>
          <w:color w:val="595959"/>
          <w:sz w:val="18"/>
        </w:rPr>
        <w:t>【归属】第3章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【用途】张贴于项目部会议室或打印随身携带。按“项目所处阶段→对应章节→直接使用的附件”查找，同时提示该阶段三条生命线（证据、台账时效、现金流合规）的重点动作。</w:t>
      </w:r>
    </w:p>
    <w:p>
      <w:pPr>
        <w:keepNext/>
        <w:spacing w:before="80" w:after="40" w:line="288" w:lineRule="auto"/>
        <w:ind w:firstLine="0"/>
        <w:jc w:val="center"/>
      </w:pPr>
      <w:r>
        <w:rPr>
          <w:rFonts w:ascii="Times New Roman" w:hAnsi="Times New Roman" w:eastAsia="黑体"/>
          <w:b/>
          <w:i w:val="0"/>
          <w:color w:val="000000"/>
          <w:sz w:val="21"/>
        </w:rPr>
        <w:t>表3-1　建筑施工全流程导航总表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阶段</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对应章节</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核心动作</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直接使用附件</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证据链</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台账与时效</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现金流与合规</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招投标</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第4章</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资信调查、踏勘、清单复核、报价、投标</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4-1至4-8</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招标文件、踏勘记录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投标有效期、保证金退还</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投标保证金≤2%</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合同</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第5章</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评审、谈判、交底、风险条款</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5-1至5-3</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合同文本、评审记录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用印、归档</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履约保证金≤10%</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开工准备</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第6章</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策划、施组、资源、报建、策划交底</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6-1至6-9</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施组、方案、交底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施工许可、开工条件</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安全费计提、专户</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施工·上</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第7章</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进度、安全、质量、危大、文明施工</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7-1至7-15</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验收记录、隐患单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旁站、整改闭环</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安全费专款专用</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施工·下</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第8章</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成本、变更、签证、索赔、资金、税务</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8-1至8-15</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签证、联系单、索赔</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索赔28天、计量周期</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工资专户、代发</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收尾验收</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第9章</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竣工预验收、整改、资料、移交</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9-1至9-5</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验收记录、移交单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竣工验收、资料归档</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预留质保金≤3%</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竣工结算</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第10章</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结算编制、报送、核对、清欠</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10-1至10-6</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结算书、对账单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结算审核期限、优先受偿18个月</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回款、发票、债权</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质保</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第11章</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回访、保修、质保金返还</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11-1至11-5</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保修记录、维修单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保修期、缺陷责任期</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质保金返还</w:t>
            </w:r>
          </w:p>
        </w:tc>
      </w:tr>
    </w:tbl>
    <w:p>
      <w:pPr>
        <w:spacing w:before="20" w:after="80" w:line="288" w:lineRule="auto"/>
        <w:ind w:firstLine="0"/>
        <w:jc w:val="left"/>
      </w:pPr>
      <w:r>
        <w:rPr>
          <w:rFonts w:ascii="Times New Roman" w:hAnsi="Times New Roman" w:eastAsia="宋体"/>
          <w:b w:val="0"/>
          <w:i w:val="0"/>
          <w:color w:val="404040"/>
          <w:sz w:val="18"/>
        </w:rPr>
        <w:t>依据：本指导书第二篇各章；保证金比例见《招标投标法实施条例》（国务院令第709号，2019修订）、《建设工程质量保证金管理办法》（建质〔2017〕138号）；索赔时效见《建设工程施工合同（示范文本）》GF-2017-0201；优先受偿权期限见法释〔2020〕25号第四十一条。</w:t>
      </w:r>
    </w:p>
    <w:p>
      <w:pPr>
        <w:pStyle w:val="Heading3"/>
        <w:pageBreakBefore/>
        <w:spacing w:before="120"/>
      </w:pPr>
      <w:bookmarkStart w:id="55" w:name="_LarkToc00055"/>
      <w:r>
        <w:t>附件3-2　不同岗位快速上手路径与使用频次表</w:t>
      </w:r>
      <w:bookmarkEnd w:id="55"/>
    </w:p>
    <w:p>
      <w:pPr>
        <w:spacing w:before="0" w:after="40" w:line="312" w:lineRule="auto"/>
        <w:ind w:firstLine="0"/>
        <w:jc w:val="left"/>
      </w:pPr>
      <w:r>
        <w:rPr>
          <w:rFonts w:ascii="Times New Roman" w:hAnsi="Times New Roman" w:eastAsia="宋体"/>
          <w:b w:val="0"/>
          <w:i w:val="0"/>
          <w:color w:val="595959"/>
          <w:sz w:val="18"/>
        </w:rPr>
        <w:t>【归属】第3章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【用途】新入职或轮岗人员按本表确定学习顺序、核心工具和使用频次，做到“先上手、再精通”；岗位负责人可结合项目阶段调整。示例行用后删除。</w:t>
      </w:r>
    </w:p>
    <w:p>
      <w:pPr>
        <w:keepNext/>
        <w:spacing w:before="80" w:after="40" w:line="288" w:lineRule="auto"/>
        <w:ind w:firstLine="0"/>
        <w:jc w:val="center"/>
      </w:pPr>
      <w:r>
        <w:rPr>
          <w:rFonts w:ascii="Times New Roman" w:hAnsi="Times New Roman" w:eastAsia="黑体"/>
          <w:b/>
          <w:i w:val="0"/>
          <w:color w:val="000000"/>
          <w:sz w:val="21"/>
        </w:rPr>
        <w:t>表3-2　岗位快速上手路径与使用频次表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岗位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优先章节</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核心附件</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使用频次</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学习周期</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上手要点</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（示例）商务经理</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4、5、8、10、12</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4-5、5-5、8-9、10-1</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2周</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先吃透报价测算与合同风险条款</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项目经理</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2、6、7、8、9、20</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2-1、6-1、8-1、9-1</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日/周</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4周</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掌握六步工作法与全流程关键节点</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6、7、9</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6-3、6-4、7-1、9-1</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3周</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施组方案、危大工程、验收程序</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安全总监/安全员</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7、18</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7-3至7-11、18-1</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日</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2周</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双重预防、隐患闭环、危大管控</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商务/合约</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4、5、8、10、12</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4-9、5-4、5-5、8-7、8-9</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日/周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2周</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废标防控、风险条款、变更签证索赔</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财务负责人</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8、10、11、13、14</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8-11、13-1、14-1</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周/月</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2周</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资金计划、专户、安全费、质保金</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物资/设备</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6、7、8</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6-7、6-8、8-3、8-5</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1周</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限额领料、机械台班、周转材料</w:t>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注：学习周期为参考值，使用频次指对应附件在常规项目中的复盘/更新频率；新项目开工首月应提高频次。</w:t>
      </w:r>
    </w:p>
    <w:p>
      <w:pPr>
        <w:pStyle w:val="Heading1"/>
      </w:pPr>
      <w:bookmarkStart w:id="5" w:name="_LarkToc00005"/>
      <w:r>
        <w:t>第二篇　业务篇——全流程作战，每一仗都有章法</w:t>
      </w:r>
      <w:bookmarkEnd w:id="5"/>
    </w:p>
    <w:p>
      <w:pPr>
        <w:spacing w:before="0" w:after="0" w:line="360" w:lineRule="auto"/>
        <w:ind w:firstLine="480"/>
        <w:jc w:val="both"/>
      </w:pPr>
      <w:r>
        <w:rPr>
          <w:rFonts w:ascii="Times New Roman" w:hAnsi="Times New Roman" w:eastAsia="宋体"/>
          <w:b w:val="0"/>
          <w:i w:val="0"/>
          <w:color w:val="000000"/>
          <w:sz w:val="24"/>
        </w:rPr>
        <w:t>本篇以工程施工项目全流程为“体”，按招投标、合同、开工准备、施工过程（上：进度·安全·质量；下：成本·变更索赔·资金·税务·合规）、收尾验收、竣工结算、质保八个阶段展开。每个阶段都贯穿六步工作法，并把“证据链、台账与时效、现金流与合规”三条生命线落到具体动作。正文讲清做什么、为什么、依据什么，章末附件给出可直接填写使用的表格。</w:t>
      </w:r>
    </w:p>
    <w:p>
      <w:pPr>
        <w:pStyle w:val="Heading2"/>
        <w:pageBreakBefore/>
      </w:pPr>
      <w:bookmarkStart w:id="6" w:name="_LarkToc00006"/>
      <w:r>
        <w:t>第4章　招投标：不打无准备、无把握之仗</w:t>
      </w:r>
      <w:bookmarkEnd w:id="6"/>
    </w:p>
    <w:p>
      <w:pPr>
        <w:pStyle w:val="sec_head"/>
      </w:pPr>
      <w:r>
        <w:t>4.1　先回答“该不该投、能不能赢、亏不亏本”三笔账</w:t>
      </w:r>
    </w:p>
    <w:p>
      <w:pPr>
        <w:spacing w:before="0" w:after="0" w:line="360" w:lineRule="auto"/>
        <w:ind w:firstLine="480"/>
        <w:jc w:val="both"/>
      </w:pPr>
      <w:r>
        <w:rPr>
          <w:rFonts w:ascii="Times New Roman" w:hAnsi="Times New Roman" w:eastAsia="宋体"/>
          <w:b w:val="0"/>
          <w:i w:val="0"/>
          <w:color w:val="000000"/>
          <w:sz w:val="24"/>
        </w:rPr>
        <w:t>毛泽东同志在总结作战经验时提出“不打无准备之仗，不打无把握之仗”。投标是项目的第一仗，也是最容易被“中标即胜利”错觉掩盖的一仗。很多项目的亏损在投标那一刻就已注定：低价抢标、垫资无底、业主资信差、清单漏项、现场条件误判。因此在决定购买标书之前，必须先算清三笔账：</w:t>
      </w:r>
    </w:p>
    <w:p>
      <w:pPr>
        <w:pStyle w:val="ListBullet"/>
        <w:spacing w:before="0" w:after="0" w:line="360" w:lineRule="auto"/>
        <w:ind w:firstLine="0" w:left="420"/>
        <w:jc w:val="both"/>
      </w:pPr>
      <w:r>
        <w:rPr>
          <w:rFonts w:ascii="Times New Roman" w:hAnsi="Times New Roman" w:eastAsia="宋体"/>
          <w:b w:val="0"/>
          <w:i w:val="0"/>
          <w:color w:val="000000"/>
          <w:sz w:val="24"/>
        </w:rPr>
        <w:t>战场账（该不该投）：项目是否在企业战略方向和能力圈内，业主资信、资金来源、区域环境是否可控。</w:t>
      </w:r>
    </w:p>
    <w:p>
      <w:pPr>
        <w:pStyle w:val="ListBullet"/>
        <w:spacing w:before="0" w:after="0" w:line="360" w:lineRule="auto"/>
        <w:ind w:firstLine="0" w:left="420"/>
        <w:jc w:val="both"/>
      </w:pPr>
      <w:r>
        <w:rPr>
          <w:rFonts w:ascii="Times New Roman" w:hAnsi="Times New Roman" w:eastAsia="宋体"/>
          <w:b w:val="0"/>
          <w:i w:val="0"/>
          <w:color w:val="000000"/>
          <w:sz w:val="24"/>
        </w:rPr>
        <w:t>胜算账（能不能赢）：竞争对手、资质业绩门槛、评标办法、自身优势，中标概率与投入产出是否匹配。</w:t>
      </w:r>
    </w:p>
    <w:p>
      <w:pPr>
        <w:pStyle w:val="ListBullet"/>
        <w:spacing w:before="0" w:after="0" w:line="360" w:lineRule="auto"/>
        <w:ind w:firstLine="0" w:left="420"/>
        <w:jc w:val="both"/>
      </w:pPr>
      <w:r>
        <w:rPr>
          <w:rFonts w:ascii="Times New Roman" w:hAnsi="Times New Roman" w:eastAsia="宋体"/>
          <w:b w:val="0"/>
          <w:i w:val="0"/>
          <w:color w:val="000000"/>
          <w:sz w:val="24"/>
        </w:rPr>
        <w:t>盈亏账（亏不亏本）：按工程量清单和企业定额实算成本，测算最低保本价、合理报价和现金流缺口。</w:t>
      </w:r>
    </w:p>
    <w:p>
      <w:pPr>
        <w:pStyle w:val="sec_head"/>
      </w:pPr>
      <w:r>
        <w:t>4.2　六步工作法在投标阶段的落地</w:t>
      </w:r>
    </w:p>
    <w:p>
      <w:pPr>
        <w:spacing w:before="0" w:after="0" w:line="360" w:lineRule="auto"/>
        <w:ind w:firstLine="480"/>
        <w:jc w:val="both"/>
      </w:pPr>
      <w:r>
        <w:rPr>
          <w:rFonts w:ascii="Times New Roman" w:hAnsi="Times New Roman" w:eastAsia="宋体"/>
          <w:b w:val="0"/>
          <w:i w:val="0"/>
          <w:color w:val="000000"/>
          <w:sz w:val="24"/>
        </w:rPr>
        <w:t>调查：研读招标文件、踏勘现场、核查业主资信与项目手续；分析：找出废标条款、霸王条款、盈亏点和现金流风险；决策：由投标评审会决定投不投、报价策略和报价底线；试点：先做一个标段或一个专业的报价样板；组织：组建投标专班，明确商务、技术、报价、资格四条线的责任人和节点；复盘：无论中标与否都做投标复盘，把报价偏差、对手策略沉淀为企业数据库。</w:t>
      </w:r>
    </w:p>
    <w:p>
      <w:pPr>
        <w:pStyle w:val="sec_head"/>
      </w:pPr>
      <w:r>
        <w:t>4.3　研读招标文件：把“废标线”和“霸王条款”画出来</w:t>
      </w:r>
    </w:p>
    <w:p>
      <w:pPr>
        <w:spacing w:before="0" w:after="0" w:line="360" w:lineRule="auto"/>
        <w:ind w:firstLine="480"/>
        <w:jc w:val="both"/>
      </w:pPr>
      <w:r>
        <w:rPr>
          <w:rFonts w:ascii="Times New Roman" w:hAnsi="Times New Roman" w:eastAsia="宋体"/>
          <w:b w:val="0"/>
          <w:i w:val="0"/>
          <w:color w:val="000000"/>
          <w:sz w:val="24"/>
        </w:rPr>
        <w:t>招标文件是合同的源头，投标时未提出异议的条款，中标后很难再推翻。要逐条标记三类内容：</w:t>
      </w:r>
    </w:p>
    <w:p>
      <w:pPr>
        <w:pStyle w:val="ListBullet"/>
        <w:spacing w:before="0" w:after="0" w:line="360" w:lineRule="auto"/>
        <w:ind w:firstLine="0" w:left="420"/>
        <w:jc w:val="both"/>
      </w:pPr>
      <w:r>
        <w:rPr>
          <w:rFonts w:ascii="Times New Roman" w:hAnsi="Times New Roman" w:eastAsia="宋体"/>
          <w:b w:val="0"/>
          <w:i w:val="0"/>
          <w:color w:val="000000"/>
          <w:sz w:val="24"/>
        </w:rPr>
        <w:t>废标/否决条款：资质、业绩、人员、格式、签章、投标保证金、截止时间、电子投标（CA、加密、上传）等，任一不符即否决。</w:t>
      </w:r>
    </w:p>
    <w:p>
      <w:pPr>
        <w:pStyle w:val="ListBullet"/>
        <w:spacing w:before="0" w:after="0" w:line="360" w:lineRule="auto"/>
        <w:ind w:firstLine="0" w:left="420"/>
        <w:jc w:val="both"/>
      </w:pPr>
      <w:r>
        <w:rPr>
          <w:rFonts w:ascii="Times New Roman" w:hAnsi="Times New Roman" w:eastAsia="宋体"/>
          <w:b w:val="0"/>
          <w:i w:val="0"/>
          <w:color w:val="000000"/>
          <w:sz w:val="24"/>
        </w:rPr>
        <w:t>重大风险条款：过度垫资、付款比例过低、工期罚款无上限、质量标准过高、变更签证限制、争议管辖不利、无限连带责任、放弃优先受偿权、要求高额履约或低价质保金等。</w:t>
      </w:r>
    </w:p>
    <w:p>
      <w:pPr>
        <w:pStyle w:val="ListBullet"/>
        <w:spacing w:before="0" w:after="0" w:line="360" w:lineRule="auto"/>
        <w:ind w:firstLine="0" w:left="420"/>
        <w:jc w:val="both"/>
      </w:pPr>
      <w:r>
        <w:rPr>
          <w:rFonts w:ascii="Times New Roman" w:hAnsi="Times New Roman" w:eastAsia="宋体"/>
          <w:b w:val="0"/>
          <w:i w:val="0"/>
          <w:color w:val="000000"/>
          <w:sz w:val="24"/>
        </w:rPr>
        <w:t>商务与技术条款：评标办法（综合评估/经评审最低投标价）、清单计价规则、暂估价暂列金、材料调差、甲供材、专业分包、工期与质量目标。</w:t>
      </w:r>
    </w:p>
    <w:p>
      <w:pPr>
        <w:pStyle w:val="sec_head"/>
      </w:pPr>
      <w:r>
        <w:t>4.4　现场踏勘与清单复核：没有调查就没有报价权</w:t>
      </w:r>
    </w:p>
    <w:p>
      <w:pPr>
        <w:spacing w:before="0" w:after="0" w:line="360" w:lineRule="auto"/>
        <w:ind w:firstLine="480"/>
        <w:jc w:val="both"/>
      </w:pPr>
      <w:r>
        <w:rPr>
          <w:rFonts w:ascii="Times New Roman" w:hAnsi="Times New Roman" w:eastAsia="宋体"/>
          <w:b w:val="0"/>
          <w:i w:val="0"/>
          <w:color w:val="000000"/>
          <w:sz w:val="24"/>
        </w:rPr>
        <w:t>报价必须建立在现场和清单的真实情况之上。现场踏勘重点看：场地与周边、地形地质、地下水、场内运输与道路、临水临电接入、既有管线、扰民与环保要求、弃土场与取土场、当地材料与人工价格、可利用的临设场地。清单复核要逐项核对工程量、项目特征、计量单位、缺项漏项，与图纸和现场比对，形成偏差表，作为答疑和报价策略依据。</w:t>
      </w:r>
    </w:p>
    <w:p>
      <w:pPr>
        <w:pStyle w:val="sec_head"/>
      </w:pPr>
      <w:r>
        <w:t>4.5　报价决策：成本是底线、策略是手段、现金是红线</w:t>
      </w:r>
    </w:p>
    <w:p>
      <w:pPr>
        <w:spacing w:before="0" w:after="0" w:line="360" w:lineRule="auto"/>
        <w:ind w:firstLine="480"/>
        <w:jc w:val="both"/>
      </w:pPr>
      <w:r>
        <w:rPr>
          <w:rFonts w:ascii="Times New Roman" w:hAnsi="Times New Roman" w:eastAsia="宋体"/>
          <w:b w:val="0"/>
          <w:i w:val="0"/>
          <w:color w:val="000000"/>
          <w:sz w:val="24"/>
        </w:rPr>
        <w:t>报价应基于企业成本测算而非简单“跟着对手压价”。常用策略包括：不平衡报价（前期项目、工程量可能增加的项目适当报高，后期、可能减少的项目适当报低，但幅度须合理并符合评标规则）、多方案报价、增加建议方案、风险包干。任何策略都不得突破成本红线和现金流红线；对于要求大额垫资、业主资金来源不落实的项目，宁可放弃，也不做“亏本赚吆喝”的买卖。</w:t>
      </w:r>
    </w:p>
    <w:p>
      <w:pPr>
        <w:pStyle w:val="sec_head"/>
      </w:pPr>
      <w:r>
        <w:t>4.6　投标合规：守住不得串标围标、弄虚作假的底线</w:t>
      </w:r>
    </w:p>
    <w:p>
      <w:pPr>
        <w:spacing w:before="0" w:after="0" w:line="360" w:lineRule="auto"/>
        <w:ind w:firstLine="480"/>
        <w:jc w:val="both"/>
      </w:pPr>
      <w:r>
        <w:rPr>
          <w:rFonts w:ascii="Times New Roman" w:hAnsi="Times New Roman" w:eastAsia="宋体"/>
          <w:b w:val="0"/>
          <w:i w:val="0"/>
          <w:color w:val="000000"/>
          <w:sz w:val="24"/>
        </w:rPr>
        <w:t>投标保证金不得超过招标项目估算价的百分之二，签订合同后五日内退还投标保证金及同期银行存款利息；履约保证金不得超过中标合同金额的百分之十。严禁串通投标、弄虚作假骗取中标、出借资质或挂靠投标，上述行为不仅导致中标无效、没收保证金，还可能触犯刑法。投标人对招标文件有异议的，应在规定时间内书面提出（见附件4-2），保留提出与送达的证据。</w:t>
      </w:r>
    </w:p>
    <w:p>
      <w:pPr>
        <w:spacing w:before="20" w:after="80" w:line="288" w:lineRule="auto"/>
        <w:ind w:firstLine="0"/>
        <w:jc w:val="left"/>
      </w:pPr>
      <w:r>
        <w:rPr>
          <w:rFonts w:ascii="Times New Roman" w:hAnsi="Times New Roman" w:eastAsia="宋体"/>
          <w:b w:val="0"/>
          <w:i w:val="0"/>
          <w:color w:val="404040"/>
          <w:sz w:val="18"/>
        </w:rPr>
        <w:t>依据：《中华人民共和国招标投标法》（2017年修正）、《招标投标法实施条例》（国务院令第709号，2019年修订）第二十六条、第五十八条等；具体比例、期限以招标文件及项目所在地规定为准。</w:t>
      </w:r>
    </w:p>
    <w:p>
      <w:pPr>
        <w:pStyle w:val="sec_head"/>
      </w:pPr>
      <w:r>
        <w:t>4.7　中标后的衔接：从“中标通知书”到“合同交底”</w:t>
      </w:r>
    </w:p>
    <w:p>
      <w:pPr>
        <w:spacing w:before="0" w:after="0" w:line="360" w:lineRule="auto"/>
        <w:ind w:firstLine="480"/>
        <w:jc w:val="both"/>
      </w:pPr>
      <w:r>
        <w:rPr>
          <w:rFonts w:ascii="Times New Roman" w:hAnsi="Times New Roman" w:eastAsia="宋体"/>
          <w:b w:val="0"/>
          <w:i w:val="0"/>
          <w:color w:val="000000"/>
          <w:sz w:val="24"/>
        </w:rPr>
        <w:t>收到中标通知书后，应在法定期限内订立书面合同，不得再行订立背离合同实质性内容的其他协议；及时按约定提交履约保证金并收回投标保证金。合同签订后，由商务合约部门组织对项目部进行书面合同交底，把价款、付款、工期、质量、变更索赔、违约、争议解决等关键条款交到项目经理和各业务口手中，避免“签合同的人不管履约、管履约的人不懂合同”。合同交底见第5章附件5-3。</w:t>
      </w:r>
    </w:p>
    <w:p>
      <w:pPr>
        <w:pStyle w:val="sec_head"/>
      </w:pPr>
      <w:r>
        <w:t>4.8　投标策略的组合运用：不平衡报价的边界</w:t>
      </w:r>
    </w:p>
    <w:p>
      <w:pPr>
        <w:spacing w:before="0" w:after="0" w:line="360" w:lineRule="auto"/>
        <w:ind w:firstLine="480"/>
        <w:jc w:val="both"/>
      </w:pPr>
      <w:r>
        <w:rPr>
          <w:rFonts w:ascii="Times New Roman" w:hAnsi="Times New Roman" w:eastAsia="宋体"/>
          <w:b w:val="0"/>
          <w:i w:val="0"/>
          <w:color w:val="000000"/>
          <w:sz w:val="24"/>
        </w:rPr>
        <w:t>报价策略是在成本底线之上提高中标概率和盈利空间的手段，不是突破成本和现金流红线的借口。最常用的不平衡报价，是把前期项目、预计工程量会增加的项目单价适当报高，把后期项目、预计工程量会减少的项目适当报低，以期早回款并在结算时获得更多。但单价偏差必须控制在合理区间：一般单项单价相对正常报价的偏差宜控制在百分之十至百分之十五以内，明显偏离的清单会被评标委员会要求澄清，极端偏离可能被认定为恶意不平衡报价而被否决，或在结算审计中被核减。任何不平衡安排都要经得起“工程量真的反向变化”的考验，否则就是给自己挖坑。</w:t>
      </w:r>
    </w:p>
    <w:p>
      <w:pPr>
        <w:spacing w:before="0" w:after="0" w:line="360" w:lineRule="auto"/>
        <w:ind w:firstLine="480"/>
        <w:jc w:val="both"/>
      </w:pPr>
      <w:r>
        <w:rPr>
          <w:rFonts w:ascii="Times New Roman" w:hAnsi="Times New Roman" w:eastAsia="宋体"/>
          <w:b w:val="0"/>
          <w:i w:val="0"/>
          <w:color w:val="000000"/>
          <w:sz w:val="24"/>
        </w:rPr>
        <w:t>其他策略还有：多方案报价（按原条款和备选条款分别报价）、增加建议方案（在原方案外提供更优方案）、先亏后盈（为进入某区域或后续工程战略性微利）。策略选择必须与投标决策评审结论一致，并逐项登记风险，见附件4-10。</w:t>
      </w:r>
    </w:p>
    <w:p>
      <w:pPr>
        <w:pStyle w:val="sec_head"/>
      </w:pPr>
      <w:r>
        <w:t>4.9　废标风险：把否决项消灭在递交之前</w:t>
      </w:r>
    </w:p>
    <w:p>
      <w:pPr>
        <w:spacing w:before="0" w:after="0" w:line="360" w:lineRule="auto"/>
        <w:ind w:firstLine="480"/>
        <w:jc w:val="both"/>
      </w:pPr>
      <w:r>
        <w:rPr>
          <w:rFonts w:ascii="Times New Roman" w:hAnsi="Times New Roman" w:eastAsia="宋体"/>
          <w:b w:val="0"/>
          <w:i w:val="0"/>
          <w:color w:val="000000"/>
          <w:sz w:val="24"/>
        </w:rPr>
        <w:t>投标失败分两种：一种是价格比不过别人，虽败犹荣；另一种是因为资格、签章、保证金、格式、电子投标、截止时间等低级硬伤被否决投标（废标），连比价的机会都没有，前期投入全部打水漂。废标条款是“一票否决”，不打折、不补救。投标文件密封（上传）前，必须由两人以上交叉核对，对照招标文件逐条自查，凡命中否决情形的立即整改；电子投标要预留充足上传时间并保存上传成功回执、提前测试解密。自查清单见附件4-9，清标答疑过程见附件4-11。</w:t>
      </w:r>
    </w:p>
    <w:p>
      <w:pPr>
        <w:pStyle w:val="attach_div"/>
        <w:pageBreakBefore/>
        <w:jc w:val="center"/>
      </w:pPr>
      <w:r>
        <w:t>第4章　章末附件</w:t>
      </w:r>
    </w:p>
    <w:p>
      <w:pPr>
        <w:spacing w:before="0" w:after="0" w:line="360" w:lineRule="auto"/>
        <w:ind w:firstLine="480"/>
        <w:jc w:val="both"/>
      </w:pPr>
      <w:r>
        <w:rPr>
          <w:rFonts w:ascii="Times New Roman" w:hAnsi="Times New Roman" w:eastAsia="宋体"/>
          <w:b w:val="0"/>
          <w:i w:val="0"/>
          <w:color w:val="000000"/>
          <w:sz w:val="24"/>
        </w:rPr>
        <w:t>本页之后为《招投标：不打无准备、无把握之仗》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56" w:name="_LarkToc00056"/>
      <w:r>
        <w:t>附件4-1　项目信息与业主资信调查表</w:t>
      </w:r>
      <w:bookmarkEnd w:id="56"/>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【用途】获取招标信息后、决定是否投标前，由市场经营部门牵头填写。凡“资金来源不落实、手续不齐全、业主有重大失信或涉诉”的项目，应提交评审会重点讨论，必要时放弃投标。</w:t>
      </w:r>
    </w:p>
    <w:p>
      <w:pPr>
        <w:keepNext/>
        <w:spacing w:before="80" w:after="40" w:line="288" w:lineRule="auto"/>
        <w:ind w:firstLine="0"/>
        <w:jc w:val="center"/>
      </w:pPr>
      <w:r>
        <w:rPr>
          <w:rFonts w:ascii="Times New Roman" w:hAnsi="Times New Roman" w:eastAsia="黑体"/>
          <w:b/>
          <w:i w:val="0"/>
          <w:color w:val="000000"/>
          <w:sz w:val="21"/>
        </w:rPr>
        <w:t>表4-1　项目基本信息与业主资信调查表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调查项</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调查内容</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调查方式</w:t>
            </w:r>
          </w:p>
        </w:tc>
        <w:tc>
          <w:tcPr>
            <w:tcW w:type="dxa" w:w="21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调查结果（如实填写）</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风险判断</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项目概况</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项目名称、地点、规模、结构、工期、质量目标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招标公告/招标文件</w:t>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招标人/业主</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名称、性质、成立时间、注册资本、控股股东</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企业信用信息公示系统</w:t>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资金来源</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财政资金/自筹/贷款/预售监管；是否已落实</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立项、可研、资金证明</w:t>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付款条件</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预付款比例、进度款比例、支付周期、结算与质保金</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招标文件专用条款</w:t>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垫资要求</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是否要求垫资、垫资规模、偿还来源与时间</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招标文件、谈判记录</w:t>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业主履约记录</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历史项目是否拖欠工程款、有无被执行、涉诉情况</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裁判文书网、执行信息公开网</w:t>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项目手续</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立项、用地、规划、施工许可等是否齐备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政府网站/业主要求</w:t>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区域环境</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地方政策、营商环境、材料人工价格、气候地质</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属地分公司/现场</w:t>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竞争对手</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潜在投标人、与业主关系、历史中标价</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市场信息、公开数据</w:t>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综合结论</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是否建议投标及理由</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评审会</w:t>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□投□不投□慎投</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bl>
    <w:p>
      <w:pPr>
        <w:spacing w:before="20" w:after="80" w:line="288" w:lineRule="auto"/>
        <w:ind w:firstLine="0"/>
        <w:jc w:val="left"/>
      </w:pPr>
      <w:r>
        <w:rPr>
          <w:rFonts w:ascii="Times New Roman" w:hAnsi="Times New Roman" w:eastAsia="宋体"/>
          <w:b w:val="0"/>
          <w:i w:val="0"/>
          <w:color w:val="404040"/>
          <w:sz w:val="18"/>
        </w:rPr>
        <w:t>注：涉及业主信用信息应通过国家企业信用信息公示系统、中国裁判文书网、全国法院失信被执行人名单等公开渠道核实，并保存查询截图与日期；本表与附件4-5、4-6配套使用。</w:t>
      </w:r>
    </w:p>
    <w:p>
      <w:pPr>
        <w:pStyle w:val="Heading3"/>
        <w:pageBreakBefore/>
        <w:spacing w:before="120"/>
      </w:pPr>
      <w:bookmarkStart w:id="57" w:name="_LarkToc00057"/>
      <w:r>
        <w:t>附件4-2　招标文件研读与废标、风险条款核查表</w:t>
      </w:r>
      <w:bookmarkEnd w:id="57"/>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【用途】由商务、技术、法务（或外聘法律顾问）分头逐条研读，标记“否决项、风险项、应对项”，对不合理条款在答疑/异议期内书面提出并留存送达证据。</w:t>
      </w:r>
    </w:p>
    <w:p>
      <w:pPr>
        <w:keepNext/>
        <w:spacing w:before="80" w:after="40" w:line="288" w:lineRule="auto"/>
        <w:ind w:firstLine="0"/>
        <w:jc w:val="center"/>
      </w:pPr>
      <w:r>
        <w:rPr>
          <w:rFonts w:ascii="Times New Roman" w:hAnsi="Times New Roman" w:eastAsia="黑体"/>
          <w:b/>
          <w:i w:val="0"/>
          <w:color w:val="000000"/>
          <w:sz w:val="21"/>
        </w:rPr>
        <w:t>表4-2　招标文件关键条款核查表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核查要点</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招标文件原文/条款号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是否有风险</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应对措施（答疑/报价/弃投）</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资格</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资质、业绩、人员、信用、联合体要求</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废标项</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签章、格式、份数、语言、报价唯一、关键字</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电子投标</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CA证书、加密、上传截止、开标、备份</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保证金</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投标保证金金额、形式、递交时间、退还</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评标办法</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综合评估/最低评标价；商务、技术、价格权重</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价款与计价</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合同价形式、清单规则、暂估价、材料调差</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付款</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预付款、进度款比例、支付周期、延误付款利息</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垫资</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垫资范围、规模、还款来源、有无担保</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工期</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总工期、节点、误期赔偿及上限、赶工要求</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质量</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质量目标、标准、验收、创优要求、质保金</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变更索赔</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变更签证程序、时效限制、索赔是否受限</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担保</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履约、预付款、支付、质保担保的形式与比例</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违约免责</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不可抗力、调价、停窝工、业主违约责任</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争议解决</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诉讼/仲裁、管辖地、是否放弃优先受偿权</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spacing w:before="20" w:after="80" w:line="288" w:lineRule="auto"/>
        <w:ind w:firstLine="0"/>
        <w:jc w:val="left"/>
      </w:pPr>
      <w:r>
        <w:rPr>
          <w:rFonts w:ascii="Times New Roman" w:hAnsi="Times New Roman" w:eastAsia="宋体"/>
          <w:b w:val="0"/>
          <w:i w:val="0"/>
          <w:color w:val="404040"/>
          <w:sz w:val="18"/>
        </w:rPr>
        <w:t>依据：《招标投标法》及其实施条例；对招标文件、资格预审文件有异议的，应在投标截止（或资格预审申请截止）前规定时限内提出（一般为投标截止前10日对招标文件、2日对资格预审文件提出异议），具体以招标文件及现行规定为准。</w:t>
      </w:r>
    </w:p>
    <w:p>
      <w:pPr>
        <w:pStyle w:val="Heading3"/>
        <w:pageBreakBefore/>
        <w:spacing w:before="120"/>
      </w:pPr>
      <w:bookmarkStart w:id="58" w:name="_LarkToc00058"/>
      <w:r>
        <w:t>附件4-3　现场踏勘记录与影像资料清单</w:t>
      </w:r>
      <w:bookmarkEnd w:id="58"/>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【用途】由拟派项目经理或技术负责人带队踏勘，逐项记录并拍照录像定位。踏勘记录是报价、施组和后续索赔的重要原始依据，应作为投标文件附件和项目档案保存。</w:t>
      </w:r>
    </w:p>
    <w:p>
      <w:pPr>
        <w:keepNext/>
        <w:spacing w:before="80" w:after="40" w:line="288" w:lineRule="auto"/>
        <w:ind w:firstLine="0"/>
        <w:jc w:val="center"/>
      </w:pPr>
      <w:r>
        <w:rPr>
          <w:rFonts w:ascii="Times New Roman" w:hAnsi="Times New Roman" w:eastAsia="黑体"/>
          <w:b/>
          <w:i w:val="0"/>
          <w:color w:val="000000"/>
          <w:sz w:val="21"/>
        </w:rPr>
        <w:t>表4-3　现场踏勘记录表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踏勘项目</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记录内容（位置、数量、现状）</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影像编号</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对报价/施组的影响</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场地范围与周边</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红线、可用地、周边建筑、道路</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地形地貌地质</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高差、软弱土、岩性、地下水（见地勘）</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场内交通</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出入口、运输道路、限高限重、拥堵点</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4</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临水临电</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接入点、容量、距离、接驳费用承担</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地下管线</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给排水、燃气、电力、通信、迁改</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6</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环保扰民</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噪声敏感点、扬尘管控、夜间施工限制</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7</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弃土/取土</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弃土场、运距、取土点、消纳证</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8</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材料人工</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当地商砼、钢筋、砂石价格及劳动力</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9</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临设场地</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办公生活区、加工棚、材料堆场可布置</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其他</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拆迁、交叉作业、气候水文</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spacing w:before="20" w:after="80" w:line="288" w:lineRule="auto"/>
        <w:ind w:firstLine="0"/>
        <w:jc w:val="left"/>
      </w:pPr>
      <w:r>
        <w:rPr>
          <w:rFonts w:ascii="Times New Roman" w:hAnsi="Times New Roman" w:eastAsia="宋体"/>
          <w:b w:val="0"/>
          <w:i w:val="0"/>
          <w:color w:val="404040"/>
          <w:sz w:val="18"/>
        </w:rPr>
        <w:t>注：影像资料应包含全景、关键部位、参照物、时间地点信息；踏勘人、记录人、复核人签字。</w:t>
      </w:r>
    </w:p>
    <w:p>
      <w:pPr>
        <w:pStyle w:val="Heading3"/>
        <w:pageBreakBefore/>
        <w:spacing w:before="120"/>
      </w:pPr>
      <w:bookmarkStart w:id="59" w:name="_LarkToc00059"/>
      <w:r>
        <w:t>附件4-4　工程量清单复核与偏差对比表</w:t>
      </w:r>
      <w:bookmarkEnd w:id="59"/>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【用途】由报价人员依据施工图、现场和清单计价规范逐项复核，发现工程量偏差、项目特征不符、缺项漏项，在答疑期内提出，并作为报价策略依据。</w:t>
      </w:r>
    </w:p>
    <w:p>
      <w:pPr>
        <w:keepNext/>
        <w:spacing w:before="80" w:after="40" w:line="288" w:lineRule="auto"/>
        <w:ind w:firstLine="0"/>
        <w:jc w:val="center"/>
      </w:pPr>
      <w:r>
        <w:rPr>
          <w:rFonts w:ascii="Times New Roman" w:hAnsi="Times New Roman" w:eastAsia="黑体"/>
          <w:b/>
          <w:i w:val="0"/>
          <w:color w:val="000000"/>
          <w:sz w:val="21"/>
        </w:rPr>
        <w:t>表4-4　工程量清单复核偏差表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清单编码/名称</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项目特征/单位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清单工程量</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图纸/实算量</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偏差量</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偏差率</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偏差原因</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答疑/报价处理</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（示例）C30商品混凝土满堂基础</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m³</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t>1200.00</w:t>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t>1380.00</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t>+180.00</w:t>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t>15.00%</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图纸变更未更新清单</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提答疑，按实结算</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依据：《建设工程工程量清单计价规范》GB 50500-2013；偏差率=（实算量-清单量）÷清单量×100%，保留两位小数。示例行仅为说明填写方法，使用时删除。</w:t>
      </w:r>
    </w:p>
    <w:p>
      <w:pPr>
        <w:pStyle w:val="Heading3"/>
        <w:pageBreakBefore/>
        <w:spacing w:before="120"/>
      </w:pPr>
      <w:bookmarkStart w:id="60" w:name="_LarkToc00060"/>
      <w:r>
        <w:t>附件4-5　投标成本测算与报价决策表</w:t>
      </w:r>
      <w:bookmarkEnd w:id="60"/>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【用途】按企业定额或企业成本库实算，先算“保本价”，再结合策略确定报价。本表是投标评审会的核心决策依据，严禁不经测算直接压价。</w:t>
      </w:r>
    </w:p>
    <w:p>
      <w:pPr>
        <w:keepNext/>
        <w:spacing w:before="80" w:after="40" w:line="288" w:lineRule="auto"/>
        <w:ind w:firstLine="0"/>
        <w:jc w:val="center"/>
      </w:pPr>
      <w:r>
        <w:rPr>
          <w:rFonts w:ascii="Times New Roman" w:hAnsi="Times New Roman" w:eastAsia="黑体"/>
          <w:b/>
          <w:i w:val="0"/>
          <w:color w:val="000000"/>
          <w:sz w:val="21"/>
        </w:rPr>
        <w:t>表4-5　成本测算与报价决策汇总表（金额单位：万元）</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成本/费用项目</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测算依据</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占造价比</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一</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直接费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人工费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工程量×企业人工单价</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含劳务/分包人工</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净用量×（1+损耗）×采购价</w:t>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主材按询价</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机械费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台班量×台班单价/租赁价</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专业分包费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分包询价/招标控制价</w:t>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措施费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施组、安全文明、临设</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含安全费</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二</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间接费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管理费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管理人员、办公等</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规费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按规定费率</w:t>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社保等</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税金</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按现行税率</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三</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资金成本</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9</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垫资/工期利息</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资金缺口×利率×占用时间</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四</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风险与不可预见</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风险包干费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材料涨价、变更、索赔受限等</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五</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目标成本合计</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一至四合计</w:t>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t>100%</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保本价</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六</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预期利润</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报价−目标成本</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七</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最终投标报价</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评审会审定</w:t>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keepNext/>
        <w:spacing w:before="80" w:after="40" w:line="288" w:lineRule="auto"/>
        <w:ind w:firstLine="0"/>
        <w:jc w:val="center"/>
      </w:pPr>
      <w:r>
        <w:rPr>
          <w:rFonts w:ascii="Times New Roman" w:hAnsi="Times New Roman" w:eastAsia="黑体"/>
          <w:b/>
          <w:i w:val="0"/>
          <w:color w:val="000000"/>
          <w:sz w:val="21"/>
        </w:rPr>
        <w:t>表4-5-1　报价决策签署表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招标控制价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目标成本（保本价）</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最终投标报价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下浮率</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预计毛利率</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现金流缺口</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报价策略</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决策结论</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□有□无</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□常规□不平衡报价□多方案□弃投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□投标□不投标</w:t>
            </w:r>
          </w:p>
        </w:tc>
      </w:tr>
    </w:tbl>
    <w:p>
      <w:pPr>
        <w:spacing w:before="20" w:after="80" w:line="288" w:lineRule="auto"/>
        <w:ind w:firstLine="0"/>
        <w:jc w:val="left"/>
      </w:pPr>
      <w:r>
        <w:rPr>
          <w:rFonts w:ascii="Times New Roman" w:hAnsi="Times New Roman" w:eastAsia="宋体"/>
          <w:b w:val="0"/>
          <w:i w:val="0"/>
          <w:color w:val="404040"/>
          <w:sz w:val="18"/>
        </w:rPr>
        <w:t>注：不平衡报价应控制幅度，避免被认定为恶意不平衡报价而被否决；金额保留两位小数，税金按现行税率，安全费按财资〔2022〕136号规定足额计取，不得作为竞争性费用下浮。</w:t>
      </w:r>
    </w:p>
    <w:p>
      <w:pPr>
        <w:pStyle w:val="Heading3"/>
        <w:pageBreakBefore/>
        <w:spacing w:before="120"/>
      </w:pPr>
      <w:bookmarkStart w:id="61" w:name="_LarkToc00061"/>
      <w:r>
        <w:t>附件4-6　投标决策评审表</w:t>
      </w:r>
      <w:bookmarkEnd w:id="61"/>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【用途】投标决策实行集体评审、留痕决策。评审未通过或风险不可控的项目，不得投标。</w:t>
      </w:r>
    </w:p>
    <w:p>
      <w:pPr>
        <w:keepNext/>
        <w:spacing w:before="80" w:after="40" w:line="288" w:lineRule="auto"/>
        <w:ind w:firstLine="0"/>
        <w:jc w:val="center"/>
      </w:pPr>
      <w:r>
        <w:rPr>
          <w:rFonts w:ascii="Times New Roman" w:hAnsi="Times New Roman" w:eastAsia="黑体"/>
          <w:b/>
          <w:i w:val="0"/>
          <w:color w:val="000000"/>
          <w:sz w:val="21"/>
        </w:rPr>
        <w:t>表4-6　投标决策评审记录表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评审维度</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评审意见</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是否可行</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风险/前提条件</w:t>
            </w:r>
          </w:p>
        </w:tc>
      </w:tr>
      <w:tr>
        <w:trPr>
          <w:cantSplit/>
        </w:trPr>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战略匹配（选场方向）</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资格与业绩满足度</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业主资信与资金来源</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成本与报价空间</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现金流与垫资风险</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技术与工期可行性</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资源（人材机/分包）保障</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合规与法律风险</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评审组成员</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部门/岗位</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意见</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签字</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bl>
    <w:p>
      <w:pPr>
        <w:pStyle w:val="Heading3"/>
        <w:pageBreakBefore/>
        <w:spacing w:before="120"/>
      </w:pPr>
      <w:bookmarkStart w:id="62" w:name="_LarkToc00062"/>
      <w:r>
        <w:t>附件4-7　投标文件编制与递交核查清单</w:t>
      </w:r>
      <w:bookmarkEnd w:id="62"/>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【用途】投标文件密封递交前（电子投标上传前）由两人以上交叉核对，逐项打勾并签字，防止因低级错误导致废标。</w:t>
      </w:r>
    </w:p>
    <w:p>
      <w:pPr>
        <w:keepNext/>
        <w:spacing w:before="80" w:after="40" w:line="288" w:lineRule="auto"/>
        <w:ind w:firstLine="0"/>
        <w:jc w:val="center"/>
      </w:pPr>
      <w:r>
        <w:rPr>
          <w:rFonts w:ascii="Times New Roman" w:hAnsi="Times New Roman" w:eastAsia="黑体"/>
          <w:b/>
          <w:i w:val="0"/>
          <w:color w:val="000000"/>
          <w:sz w:val="21"/>
        </w:rPr>
        <w:t>表4-7　投标文件递交核查清单</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核查项</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是否符合</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核查人</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投标函及投标函附录</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格式、签字、盖章齐全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法定代表人身份证明/授权委托书</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有效、签章、附身份证明</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投标保证金</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金额、形式、账户、到账时间符合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4</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资格资料</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营业执照、资质、安许、业绩、人员证书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技术标</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施组、方案、进度、平面布置满足要求</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6</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商务标</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已标价工程量清单、报价唯一、大小写一致</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7</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偏差表/承诺</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无重大偏离，承诺签章齐全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8</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正副本/份数</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份数、装订、密封、标识符合</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9</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电子投标</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CA加密、签章、上传成功、备份、解密</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递交时间</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在截止时间前完成递交/上传</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bl>
    <w:p>
      <w:pPr>
        <w:spacing w:before="20" w:after="80" w:line="288" w:lineRule="auto"/>
        <w:ind w:firstLine="0"/>
        <w:jc w:val="left"/>
      </w:pPr>
      <w:r>
        <w:rPr>
          <w:rFonts w:ascii="Times New Roman" w:hAnsi="Times New Roman" w:eastAsia="宋体"/>
          <w:b w:val="0"/>
          <w:i w:val="0"/>
          <w:color w:val="404040"/>
          <w:sz w:val="18"/>
        </w:rPr>
        <w:t>注：电子投标应预留充足上传时间，保存上传成功回执和文件加密/解密记录；开标解密失败的应急联系方式要提前确认。</w:t>
      </w:r>
    </w:p>
    <w:p>
      <w:pPr>
        <w:pStyle w:val="Heading3"/>
        <w:pageBreakBefore/>
        <w:spacing w:before="120"/>
      </w:pPr>
      <w:bookmarkStart w:id="63" w:name="_LarkToc00063"/>
      <w:r>
        <w:t>附件4-8　投标保证金与投标费用跟踪台账</w:t>
      </w:r>
      <w:bookmarkEnd w:id="63"/>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【用途】由市场经营、财务共同登记，逐笔跟踪保证金缴纳、退还及利息，防止保证金“缴得快、退得慢”或遗失。</w:t>
      </w:r>
    </w:p>
    <w:p>
      <w:pPr>
        <w:keepNext/>
        <w:spacing w:before="80" w:after="40" w:line="288" w:lineRule="auto"/>
        <w:ind w:firstLine="0"/>
        <w:jc w:val="center"/>
      </w:pPr>
      <w:r>
        <w:rPr>
          <w:rFonts w:ascii="Times New Roman" w:hAnsi="Times New Roman" w:eastAsia="黑体"/>
          <w:b/>
          <w:i w:val="0"/>
          <w:color w:val="000000"/>
          <w:sz w:val="21"/>
        </w:rPr>
        <w:t>表4-8　投标保证金及投标费用台账</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项目名称</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保证金金额</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形式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缴纳日期</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开标/结果日期</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应退还日期</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实际退还日期</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退还利息</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经办/财务</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（示例）XX工程</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80.00万元</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银行转账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2026-03-01</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2026-03-20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签约后5日内</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依据：《招标投标法实施条例》第五十七条（招标人最迟应当在书面合同签订后5日内退还投标保证金及银行同期存款利息）、第二十六条（保证金不得超过估算价2%）；金额保留两位小数，示例行用后删除。</w:t>
      </w:r>
    </w:p>
    <w:p>
      <w:pPr>
        <w:pStyle w:val="Heading3"/>
        <w:pageBreakBefore/>
        <w:spacing w:before="120"/>
      </w:pPr>
      <w:bookmarkStart w:id="64" w:name="_LarkToc00064"/>
      <w:r>
        <w:t>附件4-9　否决投标（废标）情形自查清单</w:t>
      </w:r>
      <w:bookmarkEnd w:id="64"/>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【用途】投标文件密封递交前（电子投标上传前）逐项打勾，任一“是否触发”为“是”且未整改的，不得递交。依据条款以本项目招标文件原文为准。示例行用后删除。</w:t>
      </w:r>
    </w:p>
    <w:p>
      <w:pPr>
        <w:keepNext/>
        <w:spacing w:before="80" w:after="40" w:line="288" w:lineRule="auto"/>
        <w:ind w:firstLine="0"/>
        <w:jc w:val="center"/>
      </w:pPr>
      <w:r>
        <w:rPr>
          <w:rFonts w:ascii="Times New Roman" w:hAnsi="Times New Roman" w:eastAsia="黑体"/>
          <w:b/>
          <w:i w:val="0"/>
          <w:color w:val="000000"/>
          <w:sz w:val="21"/>
        </w:rPr>
        <w:t>表4-9　否决投标（废标）情形自查清单</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废标/否决情形</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招标文件依据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是否触发</w:t>
            </w:r>
          </w:p>
        </w:tc>
        <w:tc>
          <w:tcPr>
            <w:tcW w:type="dxa" w:w="255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防控/整改</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（示例）投标保证金未在截止前足额到账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招标文件投标人须知第__条</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提前1个工作日转账并索取到账回单</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资格条件不满足（资质、业绩、人员、信用、联合体）</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招标文件资格要求</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投标前对照核查，不齐则不投</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未按要求签字、盖章（投标函、授权书、清单）</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招标文件格式要求</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双人交叉核对签章</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投标保证金金额/形式/到账时间不符（≤估算价2%）</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投标人须知保证金条款</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按金额提前缴纳并留凭证</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电子投标CA证书、加密、上传、解密任一失败</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电子交易平台须知</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提前测试、预留上传时间、留备份</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投标文件格式、份数、装订、密封不符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招标文件格式要求</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按清单逐项核对</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报价不唯一（提交两个报价/选择性报价）</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投标人须知</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只报一个总价，大小写一致</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逾期送达/未在截止时间前上传成功</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投标截止时间</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提前递交，不卡点</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9</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投标报价超最高投标限价（招标控制价）</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招标文件限价</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报价不超限价</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串通投标、弄虚作假、出借资质等违法行为</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招标投标法及其实施条例</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严禁触碰，违法即否决并追责</w:t>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依据：《中华人民共和国招标投标法》及《招标投标法实施条例》（国务院令第709号）关于否决投标、串通投标、弄虚作假的规定；具体否决情形以本项目招标文件载明为准。</w:t>
      </w:r>
    </w:p>
    <w:p>
      <w:pPr>
        <w:pStyle w:val="Heading3"/>
        <w:pageBreakBefore/>
        <w:spacing w:before="120"/>
      </w:pPr>
      <w:bookmarkStart w:id="65" w:name="_LarkToc00065"/>
      <w:r>
        <w:t>附件4-10　不平衡报价与报价策略风险表</w:t>
      </w:r>
      <w:bookmarkEnd w:id="65"/>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【用途】报价人员列出拟调整单价的清单，逐项测算偏差幅度并预判工程量变化，评估废标、审计核减、亏损三类风险；单项偏差建议控制在±10%～±15%以内，超出须专项说明并报评审。示例行用后删除。</w:t>
      </w:r>
    </w:p>
    <w:p>
      <w:pPr>
        <w:keepNext/>
        <w:spacing w:before="80" w:after="40" w:line="288" w:lineRule="auto"/>
        <w:ind w:firstLine="0"/>
        <w:jc w:val="center"/>
      </w:pPr>
      <w:r>
        <w:rPr>
          <w:rFonts w:ascii="Times New Roman" w:hAnsi="Times New Roman" w:eastAsia="黑体"/>
          <w:b/>
          <w:i w:val="0"/>
          <w:color w:val="000000"/>
          <w:sz w:val="21"/>
        </w:rPr>
        <w:t>表4-10　不平衡报价与报价策略风险表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清单项</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正常报价(元)</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拟报单价(元)</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偏差幅度</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工程量变化预判</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是否采用</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（示例）土方开挖</w:t>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45.00/m³</w:t>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52.00/m³</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+15.56%</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前期项、量大概率增加</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□废标□审计□亏损</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□采用</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□增加□减少□不变</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□废标□审计□亏损</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□采用</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□增加□减少□不变</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□废标□审计□亏损</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□采用</w:t>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注：偏差幅度=（拟报单价-正常报价）÷正常报价×100%，保留两位小数；金额保留两位小数。不平衡报价须同时满足“总价不变、幅度合理、经得起工程量反向变化”，不得低于成本报价。</w:t>
      </w:r>
    </w:p>
    <w:p>
      <w:pPr>
        <w:pStyle w:val="Heading3"/>
        <w:pageBreakBefore/>
        <w:spacing w:before="120"/>
      </w:pPr>
      <w:bookmarkStart w:id="66" w:name="_LarkToc00066"/>
      <w:r>
        <w:t>附件4-11　清标、答疑与澄清回复记录表</w:t>
      </w:r>
      <w:bookmarkEnd w:id="66"/>
    </w:p>
    <w:p>
      <w:pPr>
        <w:spacing w:before="0" w:after="40" w:line="312" w:lineRule="auto"/>
        <w:ind w:firstLine="0"/>
        <w:jc w:val="left"/>
      </w:pPr>
      <w:r>
        <w:rPr>
          <w:rFonts w:ascii="Times New Roman" w:hAnsi="Times New Roman" w:eastAsia="宋体"/>
          <w:b w:val="0"/>
          <w:i w:val="0"/>
          <w:color w:val="595959"/>
          <w:sz w:val="18"/>
        </w:rPr>
        <w:t>【归属】第4章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【用途】对清标发现的问题、招标答疑、评标澄清及往来质疑，统一登记事项、来文、回复、时限和送达证据，防止逾期失权或回复无据。示例行用后删除。</w:t>
      </w:r>
    </w:p>
    <w:p>
      <w:pPr>
        <w:keepNext/>
        <w:spacing w:before="80" w:after="40" w:line="288" w:lineRule="auto"/>
        <w:ind w:firstLine="0"/>
        <w:jc w:val="center"/>
      </w:pPr>
      <w:r>
        <w:rPr>
          <w:rFonts w:ascii="Times New Roman" w:hAnsi="Times New Roman" w:eastAsia="黑体"/>
          <w:b/>
          <w:i w:val="0"/>
          <w:color w:val="000000"/>
          <w:sz w:val="21"/>
        </w:rPr>
        <w:t>表4-11　清标、答疑与澄清回复记录表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清标/答疑/澄清事项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对方来文（编号/日期）</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我方回复要点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回复时间</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送达/回执</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后续动作</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（示例）清单土方工程量偏差</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招标文件答疑/2026-03-05</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请求按实调整工程量</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2026-03-08</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□系统□邮件□书面</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跟踪补遗书</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□系统□邮件□书面</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□系统□邮件□书面</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注：答疑、异议、澄清须在招标文件规定时限内提出并书面回复，留存送达签收或系统发送记录；口头答复不得作为结算和抗辩依据。</w:t>
      </w:r>
    </w:p>
    <w:p>
      <w:pPr>
        <w:pStyle w:val="Heading2"/>
        <w:pageBreakBefore/>
      </w:pPr>
      <w:bookmarkStart w:id="7" w:name="_LarkToc00007"/>
      <w:r>
        <w:t>第5章　合同：守住项目生死的第一道闸门</w:t>
      </w:r>
      <w:bookmarkEnd w:id="7"/>
    </w:p>
    <w:p>
      <w:pPr>
        <w:pStyle w:val="sec_head"/>
      </w:pPr>
      <w:r>
        <w:t>5.1　合同不是“走形式”，而是项目的作战地图</w:t>
      </w:r>
    </w:p>
    <w:p>
      <w:pPr>
        <w:spacing w:before="0" w:after="0" w:line="360" w:lineRule="auto"/>
        <w:ind w:firstLine="480"/>
        <w:jc w:val="both"/>
      </w:pPr>
      <w:r>
        <w:rPr>
          <w:rFonts w:ascii="Times New Roman" w:hAnsi="Times New Roman" w:eastAsia="宋体"/>
          <w:b w:val="0"/>
          <w:i w:val="0"/>
          <w:color w:val="000000"/>
          <w:sz w:val="24"/>
        </w:rPr>
        <w:t>毛泽东同志讲“政策和策略是党的生命”，对施工企业而言，合同就是项目的政策和策略。项目能不能干、怎么干、钱怎么收、风险谁担、出了争议怎么解决，全部写在合同里。很多企业“重中标、轻合同”，中标后对合同条款不评审、不谈判、不交底，结果在付款、变更、索赔、工期、质量等条款上吃大亏。合同评审要像战前会审作战地图一样，逐字逐句、逐条逐项。</w:t>
      </w:r>
    </w:p>
    <w:p>
      <w:pPr>
        <w:pStyle w:val="sec_head"/>
      </w:pPr>
      <w:r>
        <w:t>5.2　合同评审的九条主线</w:t>
      </w:r>
    </w:p>
    <w:p>
      <w:pPr>
        <w:pStyle w:val="ListBullet"/>
        <w:spacing w:before="0" w:after="0" w:line="360" w:lineRule="auto"/>
        <w:ind w:firstLine="0" w:left="420"/>
        <w:jc w:val="both"/>
      </w:pPr>
      <w:r>
        <w:rPr>
          <w:rFonts w:ascii="Times New Roman" w:hAnsi="Times New Roman" w:eastAsia="宋体"/>
          <w:b w:val="0"/>
          <w:i w:val="0"/>
          <w:color w:val="000000"/>
          <w:sz w:val="24"/>
        </w:rPr>
        <w:t>一·价格与计价：合同价形式（固定/可调/成本加酬金）、风险范围、清单计价规则、暂估价暂列金、材料调差。</w:t>
      </w:r>
    </w:p>
    <w:p>
      <w:pPr>
        <w:pStyle w:val="ListBullet"/>
        <w:spacing w:before="0" w:after="0" w:line="360" w:lineRule="auto"/>
        <w:ind w:firstLine="0" w:left="420"/>
        <w:jc w:val="both"/>
      </w:pPr>
      <w:r>
        <w:rPr>
          <w:rFonts w:ascii="Times New Roman" w:hAnsi="Times New Roman" w:eastAsia="宋体"/>
          <w:b w:val="0"/>
          <w:i w:val="0"/>
          <w:color w:val="000000"/>
          <w:sz w:val="24"/>
        </w:rPr>
        <w:t>二·付款：预付款、安全文明施工费预付、进度款计量支付比例与周期、竣工结算款、质保金比例与返还。</w:t>
      </w:r>
    </w:p>
    <w:p>
      <w:pPr>
        <w:pStyle w:val="ListBullet"/>
        <w:spacing w:before="0" w:after="0" w:line="360" w:lineRule="auto"/>
        <w:ind w:firstLine="0" w:left="420"/>
        <w:jc w:val="both"/>
      </w:pPr>
      <w:r>
        <w:rPr>
          <w:rFonts w:ascii="Times New Roman" w:hAnsi="Times New Roman" w:eastAsia="宋体"/>
          <w:b w:val="0"/>
          <w:i w:val="0"/>
          <w:color w:val="000000"/>
          <w:sz w:val="24"/>
        </w:rPr>
        <w:t>三·工期：开工竣工、节点工期、误期赔偿及上限、顺延情形、停工窝工责任。</w:t>
      </w:r>
    </w:p>
    <w:p>
      <w:pPr>
        <w:pStyle w:val="ListBullet"/>
        <w:spacing w:before="0" w:after="0" w:line="360" w:lineRule="auto"/>
        <w:ind w:firstLine="0" w:left="420"/>
        <w:jc w:val="both"/>
      </w:pPr>
      <w:r>
        <w:rPr>
          <w:rFonts w:ascii="Times New Roman" w:hAnsi="Times New Roman" w:eastAsia="宋体"/>
          <w:b w:val="0"/>
          <w:i w:val="0"/>
          <w:color w:val="000000"/>
          <w:sz w:val="24"/>
        </w:rPr>
        <w:t>四·质量：质量目标与标准、验收程序、创优要求、返工责任、保修期与缺陷责任期。</w:t>
      </w:r>
    </w:p>
    <w:p>
      <w:pPr>
        <w:pStyle w:val="ListBullet"/>
        <w:spacing w:before="0" w:after="0" w:line="360" w:lineRule="auto"/>
        <w:ind w:firstLine="0" w:left="420"/>
        <w:jc w:val="both"/>
      </w:pPr>
      <w:r>
        <w:rPr>
          <w:rFonts w:ascii="Times New Roman" w:hAnsi="Times New Roman" w:eastAsia="宋体"/>
          <w:b w:val="0"/>
          <w:i w:val="0"/>
          <w:color w:val="000000"/>
          <w:sz w:val="24"/>
        </w:rPr>
        <w:t>五·变更与索赔：变更程序、签证确认权限、索赔意向与报告时限（示范文本为28天+28天）、逾期失权条款。</w:t>
      </w:r>
    </w:p>
    <w:p>
      <w:pPr>
        <w:pStyle w:val="ListBullet"/>
        <w:spacing w:before="0" w:after="0" w:line="360" w:lineRule="auto"/>
        <w:ind w:firstLine="0" w:left="420"/>
        <w:jc w:val="both"/>
      </w:pPr>
      <w:r>
        <w:rPr>
          <w:rFonts w:ascii="Times New Roman" w:hAnsi="Times New Roman" w:eastAsia="宋体"/>
          <w:b w:val="0"/>
          <w:i w:val="0"/>
          <w:color w:val="000000"/>
          <w:sz w:val="24"/>
        </w:rPr>
        <w:t>六·担保：履约、预付款、支付、工资、质量担保的形式与比例；履约保证金不超过中标合同金额10%。</w:t>
      </w:r>
    </w:p>
    <w:p>
      <w:pPr>
        <w:pStyle w:val="ListBullet"/>
        <w:spacing w:before="0" w:after="0" w:line="360" w:lineRule="auto"/>
        <w:ind w:firstLine="0" w:left="420"/>
        <w:jc w:val="both"/>
      </w:pPr>
      <w:r>
        <w:rPr>
          <w:rFonts w:ascii="Times New Roman" w:hAnsi="Times New Roman" w:eastAsia="宋体"/>
          <w:b w:val="0"/>
          <w:i w:val="0"/>
          <w:color w:val="000000"/>
          <w:sz w:val="24"/>
        </w:rPr>
        <w:t>七·违约与免责：发包人逾期付款的违约责任、利息、解除合同条件；不可抗力的分担规则。</w:t>
      </w:r>
    </w:p>
    <w:p>
      <w:pPr>
        <w:pStyle w:val="ListBullet"/>
        <w:spacing w:before="0" w:after="0" w:line="360" w:lineRule="auto"/>
        <w:ind w:firstLine="0" w:left="420"/>
        <w:jc w:val="both"/>
      </w:pPr>
      <w:r>
        <w:rPr>
          <w:rFonts w:ascii="Times New Roman" w:hAnsi="Times New Roman" w:eastAsia="宋体"/>
          <w:b w:val="0"/>
          <w:i w:val="0"/>
          <w:color w:val="000000"/>
          <w:sz w:val="24"/>
        </w:rPr>
        <w:t>八·争议解决：协商、调解、仲裁或诉讼，管辖地，送达地址，工程价款优先受偿权是否被要求放弃。</w:t>
      </w:r>
    </w:p>
    <w:p>
      <w:pPr>
        <w:pStyle w:val="ListBullet"/>
        <w:spacing w:before="0" w:after="0" w:line="360" w:lineRule="auto"/>
        <w:ind w:firstLine="0" w:left="420"/>
        <w:jc w:val="both"/>
      </w:pPr>
      <w:r>
        <w:rPr>
          <w:rFonts w:ascii="Times New Roman" w:hAnsi="Times New Roman" w:eastAsia="宋体"/>
          <w:b w:val="0"/>
          <w:i w:val="0"/>
          <w:color w:val="000000"/>
          <w:sz w:val="24"/>
        </w:rPr>
        <w:t>九·合规红线：是否存在转包、违法分包、挂靠、阴阳合同、垫资、违法发包等可能导致合同无效的安排。</w:t>
      </w:r>
    </w:p>
    <w:p>
      <w:pPr>
        <w:pStyle w:val="sec_head"/>
      </w:pPr>
      <w:r>
        <w:t>5.3　谈判与修改：在规则内争取，不碰“黑白合同”</w:t>
      </w:r>
    </w:p>
    <w:p>
      <w:pPr>
        <w:spacing w:before="0" w:after="0" w:line="360" w:lineRule="auto"/>
        <w:ind w:firstLine="480"/>
        <w:jc w:val="both"/>
      </w:pPr>
      <w:r>
        <w:rPr>
          <w:rFonts w:ascii="Times New Roman" w:hAnsi="Times New Roman" w:eastAsia="宋体"/>
          <w:b w:val="0"/>
          <w:i w:val="0"/>
          <w:color w:val="000000"/>
          <w:sz w:val="24"/>
        </w:rPr>
        <w:t>签约谈判应在不背离招标文件和中标人投标文件实质性内容的前提下进行，不得另行订立与备案合同实质性内容不一致的“黑白合同”，否则结算时可能以中标合同（白合同）为准，私下让利不受法律保护。对于显失公平、风险严重失衡的条款（如放弃优先受偿权、无限连带、付款无保障、索赔失权等），应在谈判中据理力争，必要时要求提供工程款支付担保；无法改变且风险不可承受的，应启动“不签”决策。</w:t>
      </w:r>
    </w:p>
    <w:p>
      <w:pPr>
        <w:spacing w:before="0" w:after="0" w:line="360" w:lineRule="auto"/>
        <w:ind w:firstLine="480"/>
        <w:jc w:val="both"/>
      </w:pPr>
      <w:r>
        <w:rPr>
          <w:rFonts w:ascii="Times New Roman" w:hAnsi="Times New Roman" w:eastAsia="宋体"/>
          <w:b w:val="0"/>
          <w:i w:val="0"/>
          <w:color w:val="000000"/>
          <w:sz w:val="24"/>
        </w:rPr>
        <w:t>需要特别注意工程价款优先受偿权：承包人可就工程折价或拍卖价款优先受偿，但该权利最长应在“应当给付建设工程价款之日”起十八个月内行使；优先受偿范围不包括逾期付款利息、违约金和损害赔偿金，且以工程质量合格为前提。任何要求承包人放弃优先受偿权、可能损害建筑工人利益的条款，都应高度警惕。</w:t>
      </w:r>
    </w:p>
    <w:p>
      <w:pPr>
        <w:spacing w:before="20" w:after="80" w:line="288" w:lineRule="auto"/>
        <w:ind w:firstLine="0"/>
        <w:jc w:val="left"/>
      </w:pPr>
      <w:r>
        <w:rPr>
          <w:rFonts w:ascii="Times New Roman" w:hAnsi="Times New Roman" w:eastAsia="宋体"/>
          <w:b w:val="0"/>
          <w:i w:val="0"/>
          <w:color w:val="404040"/>
          <w:sz w:val="18"/>
        </w:rPr>
        <w:t>依据：《中华人民共和国民法典》第八百零七条；《最高人民法院关于审理建设工程施工合同纠纷案件适用法律问题的解释（一）》（法释〔2020〕25号）第三十八条、第四十条、第四十一条；《建设工程施工合同（示范文本）》GF-2017-0201。</w:t>
      </w:r>
    </w:p>
    <w:p>
      <w:pPr>
        <w:pStyle w:val="sec_head"/>
      </w:pPr>
      <w:r>
        <w:t>5.4　合同交底：让管履约的人真正懂合同</w:t>
      </w:r>
    </w:p>
    <w:p>
      <w:pPr>
        <w:spacing w:before="0" w:after="0" w:line="360" w:lineRule="auto"/>
        <w:ind w:firstLine="480"/>
        <w:jc w:val="both"/>
      </w:pPr>
      <w:r>
        <w:rPr>
          <w:rFonts w:ascii="Times New Roman" w:hAnsi="Times New Roman" w:eastAsia="宋体"/>
          <w:b w:val="0"/>
          <w:i w:val="0"/>
          <w:color w:val="000000"/>
          <w:sz w:val="24"/>
        </w:rPr>
        <w:t>合同签订后，由商务合约部门牵头，组织项目经理、技术、生产、安全、质量、商务、财务、物资、资料等各业务口进行书面合同交底，逐条讲清合同价款、付款节点、工期质量目标、变更索赔程序与时效、各自需要收集和保存的证据。交底记录全员签字，作为履约依据。没有交底，合同条款就是“锁在抽屉里的废纸”。</w:t>
      </w:r>
    </w:p>
    <w:p>
      <w:pPr>
        <w:pStyle w:val="sec_head"/>
      </w:pPr>
      <w:r>
        <w:t>5.5　建立合同台账，全过程动态监控</w:t>
      </w:r>
    </w:p>
    <w:p>
      <w:pPr>
        <w:spacing w:before="0" w:after="0" w:line="360" w:lineRule="auto"/>
        <w:ind w:firstLine="480"/>
        <w:jc w:val="both"/>
      </w:pPr>
      <w:r>
        <w:rPr>
          <w:rFonts w:ascii="Times New Roman" w:hAnsi="Times New Roman" w:eastAsia="宋体"/>
          <w:b w:val="0"/>
          <w:i w:val="0"/>
          <w:color w:val="000000"/>
          <w:sz w:val="24"/>
        </w:rPr>
        <w:t>项目部应建立合同台账，对合同、补充协议、往来函件、变更签证、付款节点、索赔时效、担保期限等动态登记并设置到期提醒（详见第13章台账与时效）。合同履行中发生的重大偏差，及时启动书面函告和证据固定，避免“口头答应、事后不认”。</w:t>
      </w:r>
    </w:p>
    <w:p>
      <w:pPr>
        <w:pStyle w:val="sec_head"/>
      </w:pPr>
      <w:r>
        <w:t>5.6　合同价格形式：先看清“风险怎么分”</w:t>
      </w:r>
    </w:p>
    <w:p>
      <w:pPr>
        <w:spacing w:before="0" w:after="0" w:line="360" w:lineRule="auto"/>
        <w:ind w:firstLine="480"/>
        <w:jc w:val="both"/>
      </w:pPr>
      <w:r>
        <w:rPr>
          <w:rFonts w:ascii="Times New Roman" w:hAnsi="Times New Roman" w:eastAsia="宋体"/>
          <w:b w:val="0"/>
          <w:i w:val="0"/>
          <w:color w:val="000000"/>
          <w:sz w:val="24"/>
        </w:rPr>
        <w:t>合同价格形式决定了材料涨价、工程量变化、地质条件变化等风险由谁承担，是合同谈判的第一笔账。常见形式有四种：固定总价、固定单价、成本加酬金、可调价格。固定总价对发包人最有利、承包人风险最大，适用于图纸完备、工期短、范围明确的项目；固定单价按实际完成工程量结算，量的风险由发包人承担、价的风险由承包人承担，是施工总承包最常用的形式；成本加酬金承包人风险最小但盈利空间有限，适用于紧急、范围不确定的项目；可调价格允许按约定的材料调差、法规变化等条款调整价款，适合工期长、材料波动大的项目。无论哪种形式，签约时都必须写清价款调整的触发条件、计算方式和确认程序，对照表见附件5-4。</w:t>
      </w:r>
    </w:p>
    <w:p>
      <w:pPr>
        <w:pStyle w:val="sec_head"/>
      </w:pPr>
      <w:r>
        <w:t>5.7　风险条款与霸王条款：识别出来，据理力争，不行就不签</w:t>
      </w:r>
    </w:p>
    <w:p>
      <w:pPr>
        <w:spacing w:before="0" w:after="0" w:line="360" w:lineRule="auto"/>
        <w:ind w:firstLine="480"/>
        <w:jc w:val="both"/>
      </w:pPr>
      <w:r>
        <w:rPr>
          <w:rFonts w:ascii="Times New Roman" w:hAnsi="Times New Roman" w:eastAsia="宋体"/>
          <w:b w:val="0"/>
          <w:i w:val="0"/>
          <w:color w:val="000000"/>
          <w:sz w:val="24"/>
        </w:rPr>
        <w:t>“霸王条款”是指单方加重承包人责任、排除承包人主要权利的显失公平条款。施工企业最常见的有：无限度的垫资且无支付担保；进度款比例过低（如低于已完工程量的七成）；工期误期赔偿不设上限；变更签证必须发包人书面盖章才认、且限制索赔时限；要求承包人放弃工程价款优先受偿权；发包人逾期付款不承担任何利息和违约责任；无论何种原因造成的损失都由承包人承担。这类条款不能靠“签了再说”，必须在谈判中逐条修改，形成谈判记录（见附件5-5逐条核查库）；经谈判仍无法改变、且风险超出承受能力的，应启动“不签”决策，把不签当作正常选项。</w:t>
      </w:r>
    </w:p>
    <w:p>
      <w:pPr>
        <w:pStyle w:val="sec_head"/>
      </w:pPr>
      <w:r>
        <w:t>5.8　工程担保与保险：种类、比例、时点一笔清</w:t>
      </w:r>
    </w:p>
    <w:p>
      <w:pPr>
        <w:spacing w:before="0" w:after="0" w:line="360" w:lineRule="auto"/>
        <w:ind w:firstLine="480"/>
        <w:jc w:val="both"/>
      </w:pPr>
      <w:r>
        <w:rPr>
          <w:rFonts w:ascii="Times New Roman" w:hAnsi="Times New Roman" w:eastAsia="宋体"/>
          <w:b w:val="0"/>
          <w:i w:val="0"/>
          <w:color w:val="000000"/>
          <w:sz w:val="24"/>
        </w:rPr>
        <w:t>工程担保和保险是项目风险的“缓冲垫”，但每一笔都占用现金流，必须弄清种类、比例上限和提交返还时点。法定上限要记牢：投标保证金不超过招标项目估算价的百分之二；履约保证金不超过中标合同金额的百分之十；质量保证金不超过工程价款结算总额的百分之三。对发包人，应争取要求其提供工程款支付担保；农民工工资保证金按合同额不低于百分之一、不超过百分之三存储，可用银行保函替代。保险方面，工伤保险为法定强制，施工现场意外伤害险按规定办理，鼓励投保安全生产责任险。一览表见附件5-6。</w:t>
      </w:r>
    </w:p>
    <w:p>
      <w:pPr>
        <w:spacing w:before="20" w:after="80" w:line="288" w:lineRule="auto"/>
        <w:ind w:firstLine="0"/>
        <w:jc w:val="left"/>
      </w:pPr>
      <w:r>
        <w:rPr>
          <w:rFonts w:ascii="Times New Roman" w:hAnsi="Times New Roman" w:eastAsia="宋体"/>
          <w:b w:val="0"/>
          <w:i w:val="0"/>
          <w:color w:val="404040"/>
          <w:sz w:val="18"/>
        </w:rPr>
        <w:t>依据：《招标投标法实施条例》（国务院令第709号）第二十六条、第五十八条；《保障农民工工资支付条例》（国务院令第724号）；《工程建设领域农民工工资保证金规定》（人社部发〔2021〕65号）；质量保证金比例及返还见现行《建设工程质量保证金管理办法》及法释〔2020〕25号第十七条。</w:t>
      </w:r>
    </w:p>
    <w:p>
      <w:pPr>
        <w:pStyle w:val="sec_head"/>
      </w:pPr>
      <w:r>
        <w:t>5.9　争议解决：打官司是最后手段，管辖和证据提前布局</w:t>
      </w:r>
    </w:p>
    <w:p>
      <w:pPr>
        <w:spacing w:before="0" w:after="0" w:line="360" w:lineRule="auto"/>
        <w:ind w:firstLine="480"/>
        <w:jc w:val="both"/>
      </w:pPr>
      <w:r>
        <w:rPr>
          <w:rFonts w:ascii="Times New Roman" w:hAnsi="Times New Roman" w:eastAsia="宋体"/>
          <w:b w:val="0"/>
          <w:i w:val="0"/>
          <w:color w:val="000000"/>
          <w:sz w:val="24"/>
        </w:rPr>
        <w:t>争议解决路径依次为协商、调解、仲裁、诉讼。协商调解成本低、关系不破裂，应作为首选；仲裁一裁终局、保密性好，但须有明确仲裁协议和选定的仲裁机构；诉讼两审终审、管辖法定。选择时要比较成本、周期、证据要求和管辖地：约定在发包人所在地诉讼、或放弃优先受偿权的条款要高度警惕。无论走哪条路，证据都是关键——合同、往来函件、签证、会议纪要、施工日志、影像都要在履约阶段同步固定。承包人还应善用工程价款优先受偿权：自应付款之日起最长十八个月内行使，以工程质量合格为前提，不及于利息、违约金。路径选择表见附件5-7。</w:t>
      </w:r>
    </w:p>
    <w:p>
      <w:pPr>
        <w:pStyle w:val="sec_head"/>
      </w:pPr>
      <w:r>
        <w:t>5.10　黑白合同与实际施工：守住合同效力与合规红线</w:t>
      </w:r>
    </w:p>
    <w:p>
      <w:pPr>
        <w:spacing w:before="0" w:after="0" w:line="360" w:lineRule="auto"/>
        <w:ind w:firstLine="480"/>
        <w:jc w:val="both"/>
      </w:pPr>
      <w:r>
        <w:rPr>
          <w:rFonts w:ascii="Times New Roman" w:hAnsi="Times New Roman" w:eastAsia="宋体"/>
          <w:b w:val="0"/>
          <w:i w:val="0"/>
          <w:color w:val="000000"/>
          <w:sz w:val="24"/>
        </w:rPr>
        <w:t>招标项目签订中标合同后，又另行签订与中标合同实质性内容（价款、工期、质量等）不一致的协议，即“黑白合同”，结算时一般以备案的中标合同（白合同）为准，私下让利不受法律保护。更严重的是出借资质、挂靠、转包、违法分包：可能导致合同无效、没收违法所得、罚款、停业整顿、降低或吊销资质，实际施工人还可能突破合同相对性直接起诉发包人，把企业拖入连带风险。施工企业必须做到人员、财务、物资、质量、安全“五统一”由本单位实际管理，五类关键人员为本单位人员，绝不以包代管、以包代建。风险提示表见附件5-8。</w:t>
      </w:r>
    </w:p>
    <w:p>
      <w:pPr>
        <w:spacing w:before="20" w:after="80" w:line="288" w:lineRule="auto"/>
        <w:ind w:firstLine="0"/>
        <w:jc w:val="left"/>
      </w:pPr>
      <w:r>
        <w:rPr>
          <w:rFonts w:ascii="Times New Roman" w:hAnsi="Times New Roman" w:eastAsia="宋体"/>
          <w:b w:val="0"/>
          <w:i w:val="0"/>
          <w:color w:val="404040"/>
          <w:sz w:val="18"/>
        </w:rPr>
        <w:t>依据：《中华人民共和国民法典》合同编及第七百九十一条、第八百零七条；《中华人民共和国建筑法》第二十六条、第二十八条；《建设工程质量管理条例》（国务院令第714号）第七十八条；《房屋建筑和市政基础设施工程施工分包管理办法》（住建部令第47号）第十三条至第十五条；法释〔2020〕25号关于黑白合同、实际施工人、优先受偿权的规定。</w:t>
      </w:r>
    </w:p>
    <w:p>
      <w:pPr>
        <w:pStyle w:val="attach_div"/>
        <w:pageBreakBefore/>
        <w:jc w:val="center"/>
      </w:pPr>
      <w:r>
        <w:t>第5章　章末附件</w:t>
      </w:r>
    </w:p>
    <w:p>
      <w:pPr>
        <w:spacing w:before="0" w:after="0" w:line="360" w:lineRule="auto"/>
        <w:ind w:firstLine="480"/>
        <w:jc w:val="both"/>
      </w:pPr>
      <w:r>
        <w:rPr>
          <w:rFonts w:ascii="Times New Roman" w:hAnsi="Times New Roman" w:eastAsia="宋体"/>
          <w:b w:val="0"/>
          <w:i w:val="0"/>
          <w:color w:val="000000"/>
          <w:sz w:val="24"/>
        </w:rPr>
        <w:t>本页之后为《合同：守住项目生死的第一道闸门》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67" w:name="_LarkToc00067"/>
      <w:r>
        <w:t>附件5-1　施工合同评审意见表</w:t>
      </w:r>
      <w:bookmarkEnd w:id="67"/>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【用途】由商务、技术、财务、安全、法务会签，每条主线给出“可接受/需修改/不可接受”意见，不可接受项未经处理不得签约。</w:t>
      </w:r>
    </w:p>
    <w:p>
      <w:pPr>
        <w:keepNext/>
        <w:spacing w:before="80" w:after="40" w:line="288" w:lineRule="auto"/>
        <w:ind w:firstLine="0"/>
        <w:jc w:val="center"/>
      </w:pPr>
      <w:r>
        <w:rPr>
          <w:rFonts w:ascii="Times New Roman" w:hAnsi="Times New Roman" w:eastAsia="黑体"/>
          <w:b/>
          <w:i w:val="0"/>
          <w:color w:val="000000"/>
          <w:sz w:val="21"/>
        </w:rPr>
        <w:t>表5-1　施工合同评审表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评审主线</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关键条款摘要（条款号）</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评审意见与风险</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评审人/日期</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价格与计价</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付款</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工期</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质量</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变更与索赔</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担保</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违约与免责</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争议解决</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优先受偿权</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合规红线</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□可接受□需修改□不可接受</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bl>
    <w:p>
      <w:pPr>
        <w:spacing w:before="20" w:after="80" w:line="288" w:lineRule="auto"/>
        <w:ind w:firstLine="0"/>
        <w:jc w:val="left"/>
      </w:pPr>
      <w:r>
        <w:rPr>
          <w:rFonts w:ascii="Times New Roman" w:hAnsi="Times New Roman" w:eastAsia="宋体"/>
          <w:b w:val="0"/>
          <w:i w:val="0"/>
          <w:color w:val="404040"/>
          <w:sz w:val="18"/>
        </w:rPr>
        <w:t>依据：《民法典》合同编、法释〔2020〕25号、GF-2017-0201；履约保证金比例依据《招标投标法实施条例》第五十八条。</w:t>
      </w:r>
    </w:p>
    <w:p>
      <w:pPr>
        <w:pStyle w:val="Heading3"/>
        <w:pageBreakBefore/>
        <w:spacing w:before="120"/>
      </w:pPr>
      <w:bookmarkStart w:id="68" w:name="_LarkToc00068"/>
      <w:r>
        <w:t>附件5-2　合同风险条款谈判修改对照表</w:t>
      </w:r>
      <w:bookmarkEnd w:id="68"/>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【用途】用于把评审发现的风险条款逐条提出修改意见，形成谈判口径，谈判结果（采纳/部分采纳/未采纳）留痕。</w:t>
      </w:r>
    </w:p>
    <w:p>
      <w:pPr>
        <w:keepNext/>
        <w:spacing w:before="80" w:after="40" w:line="288" w:lineRule="auto"/>
        <w:ind w:firstLine="0"/>
        <w:jc w:val="center"/>
      </w:pPr>
      <w:r>
        <w:rPr>
          <w:rFonts w:ascii="Times New Roman" w:hAnsi="Times New Roman" w:eastAsia="黑体"/>
          <w:b/>
          <w:i w:val="0"/>
          <w:color w:val="000000"/>
          <w:sz w:val="21"/>
        </w:rPr>
        <w:t>表5-2　合同条款谈判修改对照表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原条款（编号+原文摘要）</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风险分析</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我方修改建议（建议表述）</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谈判结果</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遗留风险及对策</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（示例）进度款按已完工程量70%支付</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付款比例偏低，现金流压力大</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提高至80%，并约定逾期付款利息</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□采纳□部分□未采纳</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若未采纳，报价中考虑资金成本</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□采纳□部分□未采纳</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□采纳□部分□未采纳</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注：修改不得背离招标文件与中标人投标文件的实质性内容，不得另行订立与中标合同实质性内容不一致的协议。</w:t>
      </w:r>
    </w:p>
    <w:p>
      <w:pPr>
        <w:pStyle w:val="Heading3"/>
        <w:pageBreakBefore/>
        <w:spacing w:before="120"/>
      </w:pPr>
      <w:bookmarkStart w:id="69" w:name="_LarkToc00069"/>
      <w:r>
        <w:t>附件5-3　合同交底记录表</w:t>
      </w:r>
      <w:bookmarkEnd w:id="69"/>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【用途】合同签订后、开工前由商务合约部门组织交底，全员签字。交底后各业务口据此开展履约和证据收集。</w:t>
      </w:r>
    </w:p>
    <w:p>
      <w:pPr>
        <w:keepNext/>
        <w:spacing w:before="80" w:after="40" w:line="288" w:lineRule="auto"/>
        <w:ind w:firstLine="0"/>
        <w:jc w:val="center"/>
      </w:pPr>
      <w:r>
        <w:rPr>
          <w:rFonts w:ascii="Times New Roman" w:hAnsi="Times New Roman" w:eastAsia="黑体"/>
          <w:b/>
          <w:i w:val="0"/>
          <w:color w:val="000000"/>
          <w:sz w:val="21"/>
        </w:rPr>
        <w:t>表5-3　合同交底记录表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交底事项</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交底内容要点</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对应业务口</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需收集/保存的证据</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合同价款与计价</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付款节点与比例</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商务/财务</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计量单、付款申请、发票</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工期与节点</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生产</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开工令、节点确认、顺延签证</w:t>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质量目标与标准</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质量</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验收记录、检测报告</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变更与索赔程序时效</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商务/技术</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变更单、签证、索赔意向（28天）</w:t>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担保与保证金</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商务/财务</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保函、保证金凭证</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安全文明施工</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安全</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安全费台账、检查记录</w:t>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违约与争议解决</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商务/法务</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往来函件、送达回执</w:t>
            </w:r>
          </w:p>
        </w:tc>
      </w:tr>
      <w:tr>
        <w:trPr>
          <w:cantSplit/>
          <w:trHeight w:val="396" w:hRule="atLeas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交底人</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被交底人（岗位/签字）</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交底日期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接收人签字</w:t>
            </w:r>
          </w:p>
        </w:tc>
      </w:tr>
      <w:tr>
        <w:trPr>
          <w:cantSplit/>
        </w:trPr>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bl>
    <w:p>
      <w:pPr>
        <w:pStyle w:val="Heading3"/>
        <w:pageBreakBefore/>
        <w:spacing w:before="120"/>
      </w:pPr>
      <w:bookmarkStart w:id="70" w:name="_LarkToc00070"/>
      <w:r>
        <w:t>附件5-4　合同价格形式与适用条件对照表</w:t>
      </w:r>
      <w:bookmarkEnd w:id="70"/>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【用途】合同评审时先对照本表明确定价形式及其风险分担，再谈判调整条款；不同形式的风险主要落在工程量变化和材料涨价两项上。</w:t>
      </w:r>
    </w:p>
    <w:p>
      <w:pPr>
        <w:keepNext/>
        <w:spacing w:before="80" w:after="40" w:line="288" w:lineRule="auto"/>
        <w:ind w:firstLine="0"/>
        <w:jc w:val="center"/>
      </w:pPr>
      <w:r>
        <w:rPr>
          <w:rFonts w:ascii="Times New Roman" w:hAnsi="Times New Roman" w:eastAsia="黑体"/>
          <w:b/>
          <w:i w:val="0"/>
          <w:color w:val="000000"/>
          <w:sz w:val="21"/>
        </w:rPr>
        <w:t>表5-4　合同价格形式与适用条件对照表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价格形式</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价款调整规则</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发包人风险</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承包人风险</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适用项目</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签约要点</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固定总价</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总价一次包死，除变更外不调</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工程量漏项由自己担</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材料涨价、工程量减少均自担</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图纸完备、工期短、范围明确</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写清风险范围和调价例外</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固定单价</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单价固定，按实结算工程量</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量差风险（量增则多付）</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价差风险（涨价自担）</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施工图未全出、量不确定</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写清单价包含范围、调差条件</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成本加酬金</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实报成本加约定酬金</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成本失控、需强审计</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利润有限、无节省激励</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紧急、抢险、范围不确定</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明确成本口径、酬金方式、审计权</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可调价格</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按约定材料调差、法规变化调价</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材料上涨需补差</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锁定可调价范围和公式</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工期长、材料波动大</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写清调差材料、基准价、公式</w:t>
            </w:r>
          </w:p>
        </w:tc>
      </w:tr>
    </w:tbl>
    <w:p>
      <w:pPr>
        <w:spacing w:before="20" w:after="80" w:line="288" w:lineRule="auto"/>
        <w:ind w:firstLine="0"/>
        <w:jc w:val="left"/>
      </w:pPr>
      <w:r>
        <w:rPr>
          <w:rFonts w:ascii="Times New Roman" w:hAnsi="Times New Roman" w:eastAsia="宋体"/>
          <w:b w:val="0"/>
          <w:i w:val="0"/>
          <w:color w:val="404040"/>
          <w:sz w:val="18"/>
        </w:rPr>
        <w:t>依据：《民法典》第七百九十五条施工合同内容；《建设工程工程量清单计价规范》GB 50500-2013；具体风险范围与调价公式以合同专用条款为准。</w:t>
      </w:r>
    </w:p>
    <w:p>
      <w:pPr>
        <w:pStyle w:val="Heading3"/>
        <w:pageBreakBefore/>
        <w:spacing w:before="120"/>
      </w:pPr>
      <w:bookmarkStart w:id="71" w:name="_LarkToc00071"/>
      <w:r>
        <w:t>附件5-5　合同风险条款逐条核查库</w:t>
      </w:r>
      <w:bookmarkEnd w:id="71"/>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【用途】签约前由商务、法务（或外聘法律顾问）逐条核查，覆盖十类高频风险条款；凡“是否可接受”为“不可接受”的，须形成修改建议并谈判，未处理不得签约。示例行用后删除。</w:t>
      </w:r>
    </w:p>
    <w:p>
      <w:pPr>
        <w:keepNext/>
        <w:spacing w:before="80" w:after="40" w:line="288" w:lineRule="auto"/>
        <w:ind w:firstLine="0"/>
        <w:jc w:val="center"/>
      </w:pPr>
      <w:r>
        <w:rPr>
          <w:rFonts w:ascii="Times New Roman" w:hAnsi="Times New Roman" w:eastAsia="黑体"/>
          <w:b/>
          <w:i w:val="0"/>
          <w:color w:val="000000"/>
          <w:sz w:val="21"/>
        </w:rPr>
        <w:t>表5-5　合同风险条款逐条核查库</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条款编号</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核查要点</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风险描述</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修改建议</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是否可接受</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（示例）付款</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第12.3款</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进度款按已完工程量70%支付</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比例偏低、现金流压力大</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提高至80%并约定逾期利息</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付款</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预付款比例、进度款周期、结算款、质保金</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调价</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材料调差范围、基准价、风险幅度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变更</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变更程序、签证权限、先批后干</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索赔</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索赔28天意向+28天报告、逾期失权</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工期</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总工期、节点、误期赔偿及上限、顺延</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质量</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质量目标、验收、返工责任、保修</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违约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双方违约责任对等性、逾期付款利息</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解除</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解除条件、已完工程结算、退场</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争议</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管辖地、仲裁机构、优先受偿权保留</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担保</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各类担保比例、形式、返还时点</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□可□改□不可</w:t>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注：本表与附件5-1评审表、5-2谈判修改对照表配套；修改不得背离招标文件和中标合同实质性内容。</w:t>
      </w:r>
    </w:p>
    <w:p>
      <w:pPr>
        <w:pStyle w:val="Heading3"/>
        <w:pageBreakBefore/>
        <w:spacing w:before="120"/>
      </w:pPr>
      <w:bookmarkStart w:id="72" w:name="_LarkToc00072"/>
      <w:r>
        <w:t>附件5-6　工程担保与保险一览表</w:t>
      </w:r>
      <w:bookmarkEnd w:id="72"/>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【用途】签约后逐项核对担保/保险的种类、比例、提交和返还时点，纳入合同台账跟踪，防止超比例提交或逾期收回。</w:t>
      </w:r>
    </w:p>
    <w:p>
      <w:pPr>
        <w:keepNext/>
        <w:spacing w:before="80" w:after="40" w:line="288" w:lineRule="auto"/>
        <w:ind w:firstLine="0"/>
        <w:jc w:val="center"/>
      </w:pPr>
      <w:r>
        <w:rPr>
          <w:rFonts w:ascii="Times New Roman" w:hAnsi="Times New Roman" w:eastAsia="黑体"/>
          <w:b/>
          <w:i w:val="0"/>
          <w:color w:val="000000"/>
          <w:sz w:val="21"/>
        </w:rPr>
        <w:t>表5-6　工程担保与保险一览表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担保/保险种类</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触发情形</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金额/比例上限</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提交/返还时点</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投标保证金</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投标阶段</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≤招标项目估算价2%</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签约后5日内退还本息</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招标投标法实施条例§26/§57</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可保函替代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履约保证金</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中标后履约担保</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≤中标合同金额10%</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缺陷责任期满/竣工后返还</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招标投标法实施条例§58</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争取保函</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预付款担保</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发包人支付预付款后</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与预付款金额相当</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预付款扣完后递减返还</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合同约定</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工程款支付担保</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发包人向承包人提供</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按合同约定</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签约后提供</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合同约定/属地规定</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应主动争取</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农民工工资保证金</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开工前存储</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合同额1%—3%</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完工公示30日后返还</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人社部发〔2021〕65号</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总包存储、可保函</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质量保证金</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结算预留</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≤结算总额3%</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缺陷责任期满（一般1年最长2年）返还</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质量保证金管理办法/法释〔2020〕25号</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未约定则竣工满2年返还</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工伤保险</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用工强制</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按参保规定</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开工前参保、按月缴费</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社会保险法</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法定强制</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意外伤害保险</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施工现场作业人员</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按保单</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施工期间有效</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建设工程安全生产管理条例§38</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鼓励投保安责险</w:t>
            </w:r>
          </w:p>
        </w:tc>
      </w:tr>
    </w:tbl>
    <w:p>
      <w:pPr>
        <w:spacing w:before="20" w:after="80" w:line="288" w:lineRule="auto"/>
        <w:ind w:firstLine="0"/>
        <w:jc w:val="left"/>
      </w:pPr>
      <w:r>
        <w:rPr>
          <w:rFonts w:ascii="Times New Roman" w:hAnsi="Times New Roman" w:eastAsia="宋体"/>
          <w:b w:val="0"/>
          <w:i w:val="0"/>
          <w:color w:val="404040"/>
          <w:sz w:val="18"/>
        </w:rPr>
        <w:t>注：比例、期限为现行规定上限，具体以招标文件、合同专用条款和项目所在地现行规定为准；优先用银行保函替代现金担保以释放现金流。</w:t>
      </w:r>
    </w:p>
    <w:p>
      <w:pPr>
        <w:pStyle w:val="Heading3"/>
        <w:pageBreakBefore/>
        <w:spacing w:before="120"/>
      </w:pPr>
      <w:bookmarkStart w:id="73" w:name="_LarkToc00073"/>
      <w:r>
        <w:t>附件5-7　争议解决路径选择表</w:t>
      </w:r>
      <w:bookmarkEnd w:id="73"/>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【用途】签约前在合同中约定争议解决方式；发生争议时对照本表选择路径，优先协商调解，注意仲裁须有明确仲裁协议、诉讼注意管辖地和时效。</w:t>
      </w:r>
    </w:p>
    <w:p>
      <w:pPr>
        <w:keepNext/>
        <w:spacing w:before="80" w:after="40" w:line="288" w:lineRule="auto"/>
        <w:ind w:firstLine="0"/>
        <w:jc w:val="center"/>
      </w:pPr>
      <w:r>
        <w:rPr>
          <w:rFonts w:ascii="Times New Roman" w:hAnsi="Times New Roman" w:eastAsia="黑体"/>
          <w:b/>
          <w:i w:val="0"/>
          <w:color w:val="000000"/>
          <w:sz w:val="21"/>
        </w:rPr>
        <w:t>表5-7　争议解决路径选择表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路径</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适用情形</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成本</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周期</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证据要求</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管辖/前置</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利弊</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选择</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协商</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争议金额不大、双方仍愿合作</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最低</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短</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往来函件、签证</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无前置</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利：不伤关系；弊：无强制力</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□首选</w:t>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调解</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协商不成、需第三方居中</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较低</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较短</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基础证据材料</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可行政/行业调解</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利：灵活；弊：靠自愿履行</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□首选</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仲裁</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合同有仲裁条款、希望保密终局</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较高</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一裁终局</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完整合同与履约证据</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须明确仲裁机构</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利：快、保密；弊：一裁终局难救济</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□约定</w:t>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诉讼</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无仲裁条款、需两审救济</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高</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较长</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完整证据链</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被告所在地/合同履行地</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利：可上诉；弊：周期长、公开</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□约定</w:t>
            </w:r>
          </w:p>
        </w:tc>
      </w:tr>
    </w:tbl>
    <w:p>
      <w:pPr>
        <w:spacing w:before="20" w:after="80" w:line="288" w:lineRule="auto"/>
        <w:ind w:firstLine="0"/>
        <w:jc w:val="left"/>
      </w:pPr>
      <w:r>
        <w:rPr>
          <w:rFonts w:ascii="Times New Roman" w:hAnsi="Times New Roman" w:eastAsia="宋体"/>
          <w:b w:val="0"/>
          <w:i w:val="0"/>
          <w:color w:val="404040"/>
          <w:sz w:val="18"/>
        </w:rPr>
        <w:t>注：工程价款优先受偿权自应付款之日起最长18个月内行使（法释〔2020〕25号第四十一条），不及于利息、违约金；约定放弃优先受偿权的条款须高度警惕。</w:t>
      </w:r>
    </w:p>
    <w:p>
      <w:pPr>
        <w:pStyle w:val="Heading3"/>
        <w:pageBreakBefore/>
        <w:spacing w:before="120"/>
      </w:pPr>
      <w:bookmarkStart w:id="74" w:name="_LarkToc00074"/>
      <w:r>
        <w:t>附件5-8　黑白合同与挂靠实际施工风险提示表</w:t>
      </w:r>
      <w:bookmarkEnd w:id="74"/>
    </w:p>
    <w:p>
      <w:pPr>
        <w:spacing w:before="0" w:after="40" w:line="312" w:lineRule="auto"/>
        <w:ind w:firstLine="0"/>
        <w:jc w:val="left"/>
      </w:pPr>
      <w:r>
        <w:rPr>
          <w:rFonts w:ascii="Times New Roman" w:hAnsi="Times New Roman" w:eastAsia="宋体"/>
          <w:b w:val="0"/>
          <w:i w:val="0"/>
          <w:color w:val="595959"/>
          <w:sz w:val="18"/>
        </w:rPr>
        <w:t>【归属】第5章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【用途】签约及履约中对照本表自查，凡命中风险情形的立即纠正；本表为合规红线提示，不得触碰。</w:t>
      </w:r>
    </w:p>
    <w:p>
      <w:pPr>
        <w:keepNext/>
        <w:spacing w:before="80" w:after="40" w:line="288" w:lineRule="auto"/>
        <w:ind w:firstLine="0"/>
        <w:jc w:val="center"/>
      </w:pPr>
      <w:r>
        <w:rPr>
          <w:rFonts w:ascii="Times New Roman" w:hAnsi="Times New Roman" w:eastAsia="黑体"/>
          <w:b/>
          <w:i w:val="0"/>
          <w:color w:val="000000"/>
          <w:sz w:val="21"/>
        </w:rPr>
        <w:t>表5-8　黑白合同与挂靠实际施工风险提示表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情形</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风险/后果</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法律依据</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是否涉及</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防控措施</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黑白合同（另行签订背离中标合同实质性内容的协议）</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结算以备案中标合同为准，私下让利不受保护</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不签阴阳协议，谈判内容写入补充协议</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挂靠/出借资质</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合同无效、没收违法所得、罚款、吊销资质</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建筑法§26</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五类关键人员本单位社保，不收费挂靠</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转包（承包后不管理、整体转手）</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视同转包，处罚并可能吊销资质</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建筑法§28、质量条例§78</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设项目机构、派驻人员、实际组织管理</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违法分包（主体结构分包、分给无资质方、再分包）</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合同无效、罚款、停业整顿</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质量条例§78、分包办法§14</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分包给有资质单位并经建设单位认可</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实际施工人追索</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发包人在欠付范围内对实际施工人承担责任</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管好分包、及时结算付款，避免欠付</w:t>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依据：《建筑法》第二十六条、第二十八条；《建设工程质量管理条例》第七十八条；《房屋建筑和市政基础设施工程施工分包管理办法》（住建部令第47号）第十三条至第十五条；法释〔2020〕25号。</w:t>
      </w:r>
    </w:p>
    <w:p>
      <w:pPr>
        <w:pStyle w:val="Heading2"/>
        <w:pageBreakBefore/>
      </w:pPr>
      <w:bookmarkStart w:id="8" w:name="_LarkToc00008"/>
      <w:r>
        <w:t>第6章　开工准备：不打无准备之仗，把仗放在“有准备”上打</w:t>
      </w:r>
      <w:bookmarkEnd w:id="8"/>
    </w:p>
    <w:p>
      <w:pPr>
        <w:pStyle w:val="sec_head"/>
      </w:pPr>
      <w:r>
        <w:t>6.1　开工前的“顶层设计”决定项目成败</w:t>
      </w:r>
    </w:p>
    <w:p>
      <w:pPr>
        <w:spacing w:before="0" w:after="0" w:line="360" w:lineRule="auto"/>
        <w:ind w:firstLine="480"/>
        <w:jc w:val="both"/>
      </w:pPr>
      <w:r>
        <w:rPr>
          <w:rFonts w:ascii="Times New Roman" w:hAnsi="Times New Roman" w:eastAsia="宋体"/>
          <w:b w:val="0"/>
          <w:i w:val="0"/>
          <w:color w:val="000000"/>
          <w:sz w:val="24"/>
        </w:rPr>
        <w:t>项目中标进场后，切忌“边设计、边准备、边施工”。开工准备阶段要完成项目策划、目标分解、组织搭建、施组方案、进度计划、资源配置、现场准备和报建手续八项工作。这个阶段的核心是“调查—分析—决策—试点—组织”，把合同目标、现场条件、企业资源三者对齐，形成项目的作战总方案。</w:t>
      </w:r>
    </w:p>
    <w:p>
      <w:pPr>
        <w:pStyle w:val="sec_head"/>
      </w:pPr>
      <w:r>
        <w:t>6.2　项目策划：先定目标、定打法、定组织</w:t>
      </w:r>
    </w:p>
    <w:p>
      <w:pPr>
        <w:spacing w:before="0" w:after="0" w:line="360" w:lineRule="auto"/>
        <w:ind w:firstLine="480"/>
        <w:jc w:val="both"/>
      </w:pPr>
      <w:r>
        <w:rPr>
          <w:rFonts w:ascii="Times New Roman" w:hAnsi="Times New Roman" w:eastAsia="宋体"/>
          <w:b w:val="0"/>
          <w:i w:val="0"/>
          <w:color w:val="000000"/>
          <w:sz w:val="24"/>
        </w:rPr>
        <w:t>项目策划书要回答：项目的盈利目标、安全质量目标、工期目标、现金流目标是什么；主要矛盾和主要风险在哪里；分几个阶段、打几个关键战役；项目组织怎么搭、责任怎么分、资源怎么投。策划书由项目经理组织编制，公司审批后执行，并作为目标责任书和过程考核的依据。</w:t>
      </w:r>
    </w:p>
    <w:p>
      <w:pPr>
        <w:pStyle w:val="sec_head"/>
      </w:pPr>
      <w:r>
        <w:t>6.3　施工组织设计与专项方案：危大工程必须单独管</w:t>
      </w:r>
    </w:p>
    <w:p>
      <w:pPr>
        <w:spacing w:before="0" w:after="0" w:line="360" w:lineRule="auto"/>
        <w:ind w:firstLine="480"/>
        <w:jc w:val="both"/>
      </w:pPr>
      <w:r>
        <w:rPr>
          <w:rFonts w:ascii="Times New Roman" w:hAnsi="Times New Roman" w:eastAsia="宋体"/>
          <w:b w:val="0"/>
          <w:i w:val="0"/>
          <w:color w:val="000000"/>
          <w:sz w:val="24"/>
        </w:rPr>
        <w:t>施工组织设计是指导施工的总纲，应在开工前编制并审批。对危险性较大的分部分项工程（危大工程），必须在施工前编制专项施工方案并按规定审核签字；超过一定规模的危大工程，施工单位还应组织专家论证，专家组成员不少于5人，方案经施工单位技术负责人审核签字、加盖单位公章，总监理工程师审查签字、加盖执业印章后方可实施。现场应在危大工程施工前，在明显位置公告。</w:t>
      </w:r>
    </w:p>
    <w:p>
      <w:pPr>
        <w:spacing w:before="20" w:after="80" w:line="288" w:lineRule="auto"/>
        <w:ind w:firstLine="0"/>
        <w:jc w:val="left"/>
      </w:pPr>
      <w:r>
        <w:rPr>
          <w:rFonts w:ascii="Times New Roman" w:hAnsi="Times New Roman" w:eastAsia="宋体"/>
          <w:b w:val="0"/>
          <w:i w:val="0"/>
          <w:color w:val="404040"/>
          <w:sz w:val="18"/>
        </w:rPr>
        <w:t>依据：《危险性较大的分部分项工程安全管理规定》（住建部令第37号，第47号令修订）、《建设工程安全生产管理条例》（国务院令第393号）第二十六条；危大工程范围及超过一定规模的标准，按住建部现行配套文件及地方规定执行。</w:t>
      </w:r>
    </w:p>
    <w:p>
      <w:pPr>
        <w:pStyle w:val="sec_head"/>
      </w:pPr>
      <w:r>
        <w:t>6.4　进度计划与资源配置：兵马未动，粮草先行</w:t>
      </w:r>
    </w:p>
    <w:p>
      <w:pPr>
        <w:spacing w:before="0" w:after="0" w:line="360" w:lineRule="auto"/>
        <w:ind w:firstLine="480"/>
        <w:jc w:val="both"/>
      </w:pPr>
      <w:r>
        <w:rPr>
          <w:rFonts w:ascii="Times New Roman" w:hAnsi="Times New Roman" w:eastAsia="宋体"/>
          <w:b w:val="0"/>
          <w:i w:val="0"/>
          <w:color w:val="000000"/>
          <w:sz w:val="24"/>
        </w:rPr>
        <w:t>总进度计划应在合同工期基础上识别关键线路，设置里程碑节点，倒排月、周计划，并与资源计划匹配。材料、周转材料、机械设备、劳动力、分包队伍的进场计划必须与进度计划联动，避免“人等料、机等人、工作面等队伍”。材料采购要区分甲供、乙供，明确询价、比价、审批和进场验收程序。</w:t>
      </w:r>
    </w:p>
    <w:p>
      <w:pPr>
        <w:pStyle w:val="sec_head"/>
      </w:pPr>
      <w:r>
        <w:t>6.5　开工报建手续与现场准备</w:t>
      </w:r>
    </w:p>
    <w:p>
      <w:pPr>
        <w:spacing w:before="0" w:after="0" w:line="360" w:lineRule="auto"/>
        <w:ind w:firstLine="480"/>
        <w:jc w:val="both"/>
      </w:pPr>
      <w:r>
        <w:rPr>
          <w:rFonts w:ascii="Times New Roman" w:hAnsi="Times New Roman" w:eastAsia="宋体"/>
          <w:b w:val="0"/>
          <w:i w:val="0"/>
          <w:color w:val="000000"/>
          <w:sz w:val="24"/>
        </w:rPr>
        <w:t>开工前应依法取得施工许可，办理工程质量、安全监督手续，完成图纸会审、设计交底、坐标控制点交接、现场围挡、大门、道路、临水临电、加工棚、办公生活区、消防设施等准备。建设单位未取得施工许可或相关手续不齐全、资金不到位的，不应盲目进场大规模施工，并应书面留痕，避免被动承担工期和安全责任。</w:t>
      </w:r>
    </w:p>
    <w:p>
      <w:pPr>
        <w:pStyle w:val="sec_head"/>
      </w:pPr>
      <w:r>
        <w:t>6.6　技术准备与样板引路</w:t>
      </w:r>
    </w:p>
    <w:p>
      <w:pPr>
        <w:spacing w:before="0" w:after="0" w:line="360" w:lineRule="auto"/>
        <w:ind w:firstLine="480"/>
        <w:jc w:val="both"/>
      </w:pPr>
      <w:r>
        <w:rPr>
          <w:rFonts w:ascii="Times New Roman" w:hAnsi="Times New Roman" w:eastAsia="宋体"/>
          <w:b w:val="0"/>
          <w:i w:val="0"/>
          <w:color w:val="000000"/>
          <w:sz w:val="24"/>
        </w:rPr>
        <w:t>组织图纸会审，把图纸问题、做法矛盾、错漏碰缺解决在施工前；做好分级技术交底（项目技术负责人对施工员、施工员对班组、班组对工人）。对关键工序、质量通病多发部位，坚持“样板引路、首件验收”，样板经建设、监理、施工三方验收合格后再大面积展开（详见第7章质量部分）。</w:t>
      </w:r>
    </w:p>
    <w:p>
      <w:pPr>
        <w:pStyle w:val="attach_div"/>
        <w:pageBreakBefore/>
        <w:jc w:val="center"/>
      </w:pPr>
      <w:r>
        <w:t>第6章　章末附件</w:t>
      </w:r>
    </w:p>
    <w:p>
      <w:pPr>
        <w:spacing w:before="0" w:after="0" w:line="360" w:lineRule="auto"/>
        <w:ind w:firstLine="480"/>
        <w:jc w:val="both"/>
      </w:pPr>
      <w:r>
        <w:rPr>
          <w:rFonts w:ascii="Times New Roman" w:hAnsi="Times New Roman" w:eastAsia="宋体"/>
          <w:b w:val="0"/>
          <w:i w:val="0"/>
          <w:color w:val="000000"/>
          <w:sz w:val="24"/>
        </w:rPr>
        <w:t>本页之后为《开工准备：不打无准备之仗》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75" w:name="_LarkToc00075"/>
      <w:r>
        <w:t>附件6-1　开工条件核查表</w:t>
      </w:r>
      <w:bookmarkEnd w:id="75"/>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【用途】开工前由项目经理组织逐项核查，未满足条件的应注明原因和解决时限，涉及手续不全、资金未到位的，应书面提示建设单位并留存证据。</w:t>
      </w:r>
    </w:p>
    <w:p>
      <w:pPr>
        <w:keepNext/>
        <w:spacing w:before="80" w:after="40" w:line="288" w:lineRule="auto"/>
        <w:ind w:firstLine="0"/>
        <w:jc w:val="center"/>
      </w:pPr>
      <w:r>
        <w:rPr>
          <w:rFonts w:ascii="Times New Roman" w:hAnsi="Times New Roman" w:eastAsia="黑体"/>
          <w:b/>
          <w:i w:val="0"/>
          <w:color w:val="000000"/>
          <w:sz w:val="21"/>
        </w:rPr>
        <w:t>表6-1　开工条件核查表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核查条件</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核查内容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是否满足</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备注/证据</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合同与图纸</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合同签订、施工图齐全、图纸会审完成</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施工许可</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施工许可证取得、质量安全监督手续办理</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组织与人员</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项目部组建、主要管理人员到岗、资格符合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施组方案</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施组审批、危大方案及专家论证完成</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技术交底</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分级交底、控制点交接、测量复核</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6</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现场准备</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围挡、道路、临水临电、场地平整</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7</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资源准备</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材料、机械、劳动力、分包落实</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8</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安全质量</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安全费、教育交底、消防、质量样板</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9</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资金与担保</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预付款、担保、工资专户、保证金</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开工令</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总监理工程师签发开工令</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pStyle w:val="Heading3"/>
        <w:pageBreakBefore/>
        <w:spacing w:before="120"/>
      </w:pPr>
      <w:bookmarkStart w:id="76" w:name="_LarkToc00076"/>
      <w:r>
        <w:t>附件6-2　项目管理目标责任书（指标分解表）</w:t>
      </w:r>
      <w:bookmarkEnd w:id="76"/>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【用途】公司与项目部签订，把合同目标分解为可考核的指标，并进一步分解到岗位和班组。</w:t>
      </w:r>
    </w:p>
    <w:p>
      <w:pPr>
        <w:keepNext/>
        <w:spacing w:before="80" w:after="40" w:line="288" w:lineRule="auto"/>
        <w:ind w:firstLine="0"/>
        <w:jc w:val="center"/>
      </w:pPr>
      <w:r>
        <w:rPr>
          <w:rFonts w:ascii="Times New Roman" w:hAnsi="Times New Roman" w:eastAsia="黑体"/>
          <w:b/>
          <w:i w:val="0"/>
          <w:color w:val="000000"/>
          <w:sz w:val="21"/>
        </w:rPr>
        <w:t>表6-2　项目管理目标指标分解表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目标类别</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指标项</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合同/公司要求</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项目目标值</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责任岗位</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考核办法</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工期</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总工期、里程碑节点</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生产经理</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质量</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一次验收合格率、创优目标</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质量负责人</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安全</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事故控制、隐患整改率、安全达标</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安全总监</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成本</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目标成本、成本降低率</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商务经理</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利润</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项目毛利率、净利润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项目经理</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现金流</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回款率、垫资上限、资金计划执行</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财务负责人</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变更索赔</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变更索赔目标额及回收率</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商务经理</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环保文明</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扬尘噪声达标、绿色施工、投诉控制</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生产/安全</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结算</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结算报送时限、结算回收目标</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商务经理</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pStyle w:val="Heading3"/>
        <w:pageBreakBefore/>
        <w:spacing w:before="120"/>
      </w:pPr>
      <w:bookmarkStart w:id="77" w:name="_LarkToc00077"/>
      <w:r>
        <w:t>附件6-3　施工组织设计（专项方案）编制审批表</w:t>
      </w:r>
      <w:bookmarkEnd w:id="77"/>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【用途】每份施组/专项方案一份，记录编制、审核、审批、监理审查、变更情况，与方案文本一并归档。</w:t>
      </w:r>
    </w:p>
    <w:p>
      <w:pPr>
        <w:keepNext/>
        <w:spacing w:before="80" w:after="40" w:line="288" w:lineRule="auto"/>
        <w:ind w:firstLine="0"/>
        <w:jc w:val="center"/>
      </w:pPr>
      <w:r>
        <w:rPr>
          <w:rFonts w:ascii="Times New Roman" w:hAnsi="Times New Roman" w:eastAsia="黑体"/>
          <w:b/>
          <w:i w:val="0"/>
          <w:color w:val="000000"/>
          <w:sz w:val="21"/>
        </w:rPr>
        <w:t>表6-3　施工组织设计/专项方案编审表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方案名称</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编制人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审核人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监理审查</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是否专家论证</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变更记录</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□施组□专项□危大□超规模危大</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□通过□退回</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□施组□专项□危大□超规模危大</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□通过□退回</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专项施工方案应由施工单位技术负责人审核签字、加盖单位公章，总监理工程师审查签字、加盖执业印章；超规模危大工程应组织专家论证，专家不少于5名。依据：住建部令第37号、国务院令第393号第二十六条。</w:t>
      </w:r>
    </w:p>
    <w:p>
      <w:pPr>
        <w:pStyle w:val="Heading3"/>
        <w:pageBreakBefore/>
        <w:spacing w:before="120"/>
      </w:pPr>
      <w:bookmarkStart w:id="78" w:name="_LarkToc00078"/>
      <w:r>
        <w:t>附件6-4　危大工程清单及专项方案编制计划</w:t>
      </w:r>
      <w:bookmarkEnd w:id="78"/>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【用途】开工前由技术负责人组织识别，列全危大工程并确定方案编制、论证、交底、验收时间，动态更新，现场公告。</w:t>
      </w:r>
    </w:p>
    <w:p>
      <w:pPr>
        <w:keepNext/>
        <w:spacing w:before="80" w:after="40" w:line="288" w:lineRule="auto"/>
        <w:ind w:firstLine="0"/>
        <w:jc w:val="center"/>
      </w:pPr>
      <w:r>
        <w:rPr>
          <w:rFonts w:ascii="Times New Roman" w:hAnsi="Times New Roman" w:eastAsia="黑体"/>
          <w:b/>
          <w:i w:val="0"/>
          <w:color w:val="000000"/>
          <w:sz w:val="21"/>
        </w:rPr>
        <w:t>表6-4　危大工程辨识与管控计划表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分部分项/部位</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危大类别</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是否超规模</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方案完成时间</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专家论证时间</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交底时间</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验收节点</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（示例）深基坑（深度5.2m）</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基坑支护降水土方</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支护/开挖/回填</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（示例）高大模板支撑体系</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模板工程及支撑</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搭设/混凝土/拆除</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（示例）塔吊安拆</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起重吊装及机械安拆</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安装/顶升/拆除</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常见危大工程包括基坑、模板及支撑、起重吊装及机械安拆、脚手架、拆除爆破、暗挖、盾构、网架等；具体范围及超规模判定标准（如开挖深度、搭设高度、跨度等）以住建部现行《危险性较大的分部分项工程安全管理规定》及配套文件、地方规定为准，本表不得替代专项方案。</w:t>
      </w:r>
    </w:p>
    <w:p>
      <w:pPr>
        <w:pStyle w:val="Heading3"/>
        <w:pageBreakBefore/>
        <w:spacing w:before="120"/>
      </w:pPr>
      <w:bookmarkStart w:id="79" w:name="_LarkToc00079"/>
      <w:r>
        <w:t>附件6-5　项目组织机构与岗位职责表</w:t>
      </w:r>
      <w:bookmarkEnd w:id="79"/>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【用途】明确项目班子和各岗位人员、证书、职责，确保项目负责人、技术负责人、质量安全人员为本单位人员，防止被认定为转包、挂靠。</w:t>
      </w:r>
    </w:p>
    <w:p>
      <w:pPr>
        <w:keepNext/>
        <w:spacing w:before="80" w:after="40" w:line="288" w:lineRule="auto"/>
        <w:ind w:firstLine="0"/>
        <w:jc w:val="center"/>
      </w:pPr>
      <w:r>
        <w:rPr>
          <w:rFonts w:ascii="Times New Roman" w:hAnsi="Times New Roman" w:eastAsia="黑体"/>
          <w:b/>
          <w:i w:val="0"/>
          <w:color w:val="000000"/>
          <w:sz w:val="21"/>
        </w:rPr>
        <w:t>表6-5　项目组织机构及岗位人员表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岗位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姓名</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执业资格/证书号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社保关系单位</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主要职责</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到岗情况</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项目经理</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建造师</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全面负责</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项目技术负责人</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职称/证书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技术、方案、质量</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生产经理</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进度、现场、协调</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安全总监/安全员</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安全考核合格证</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安全管理、监督</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质量负责人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质量管理、验收</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商务/合约经理</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合同、成本、结算</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财务负责人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资金、税务</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施工员/质检员/资料员</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岗位证</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过程管理、资料</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房屋建筑和市政基础设施工程施工分包管理办法》（住建部令第47号）第十三条、第十五条：项目负责人、技术负责人、项目核算负责人、质量管理人员、安全管理人员不是承包人本单位人员的，可能被视同转包或允许他人以本企业名义承揽工程（挂靠）。上述人员的社保、劳动合同应能证明其本单位身份。</w:t>
      </w:r>
    </w:p>
    <w:p>
      <w:pPr>
        <w:pStyle w:val="Heading3"/>
        <w:pageBreakBefore/>
        <w:spacing w:before="120"/>
      </w:pPr>
      <w:bookmarkStart w:id="80" w:name="_LarkToc00080"/>
      <w:r>
        <w:t>附件6-6　总进度计划与里程碑节点表</w:t>
      </w:r>
      <w:bookmarkEnd w:id="80"/>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【用途】识别关键线路，倒排里程碑，作为进度控制和工期索赔的基准。</w:t>
      </w:r>
    </w:p>
    <w:p>
      <w:pPr>
        <w:keepNext/>
        <w:spacing w:before="80" w:after="40" w:line="288" w:lineRule="auto"/>
        <w:ind w:firstLine="0"/>
        <w:jc w:val="center"/>
      </w:pPr>
      <w:r>
        <w:rPr>
          <w:rFonts w:ascii="Times New Roman" w:hAnsi="Times New Roman" w:eastAsia="黑体"/>
          <w:b/>
          <w:i w:val="0"/>
          <w:color w:val="000000"/>
          <w:sz w:val="21"/>
        </w:rPr>
        <w:t>表6-6　总进度计划及里程碑表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里程碑/主要分部</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计划开始</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计划完成</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紧前工作</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是否关键线路</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资源需求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责任班组</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开工/基础</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±0.00</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主体结构封顶</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砌体/安装插入</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装饰装修</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pStyle w:val="Heading3"/>
        <w:pageBreakBefore/>
        <w:spacing w:before="120"/>
      </w:pPr>
      <w:bookmarkStart w:id="81" w:name="_LarkToc00081"/>
      <w:r>
        <w:t>附件6-7　材料及周转材料需用与采购计划表</w:t>
      </w:r>
      <w:bookmarkEnd w:id="81"/>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【用途】依据进度计划和施工预算提出，区分甲供乙供，落实询比价、审批、进场，避免停工待料和积压。</w:t>
      </w:r>
    </w:p>
    <w:p>
      <w:pPr>
        <w:keepNext/>
        <w:spacing w:before="80" w:after="40" w:line="288" w:lineRule="auto"/>
        <w:ind w:firstLine="0"/>
        <w:jc w:val="center"/>
      </w:pPr>
      <w:r>
        <w:rPr>
          <w:rFonts w:ascii="Times New Roman" w:hAnsi="Times New Roman" w:eastAsia="黑体"/>
          <w:b/>
          <w:i w:val="0"/>
          <w:color w:val="000000"/>
          <w:sz w:val="21"/>
        </w:rPr>
        <w:t>表6-7　材料/周转材料需用采购计划表</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名称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规格型号</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单位</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需用量</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需用时间</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甲供/乙供</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拟供应商</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采购价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进场安排</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□甲□乙</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□甲□乙</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82" w:name="_LarkToc00082"/>
      <w:r>
        <w:t>附件6-8　机械设备进退场计划及特种设备登记表</w:t>
      </w:r>
      <w:bookmarkEnd w:id="82"/>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【用途】合理安排机械进退场，塔吊、施工升降机等特种设备须登记、检验、验收合格后方可使用。</w:t>
      </w:r>
    </w:p>
    <w:p>
      <w:pPr>
        <w:keepNext/>
        <w:spacing w:before="80" w:after="40" w:line="288" w:lineRule="auto"/>
        <w:ind w:firstLine="0"/>
        <w:jc w:val="center"/>
      </w:pPr>
      <w:r>
        <w:rPr>
          <w:rFonts w:ascii="Times New Roman" w:hAnsi="Times New Roman" w:eastAsia="黑体"/>
          <w:b/>
          <w:i w:val="0"/>
          <w:color w:val="000000"/>
          <w:sz w:val="21"/>
        </w:rPr>
        <w:t>表6-8　机械设备进退场及特种设备登记表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设备名称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规格/型号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自有/租赁</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进场时间</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安装/检测/验收</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使用登记</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退场时间</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操作人员</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（示例）塔式起重机</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QTZ80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安装检测验收</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□已登记</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持证</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□已登记</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注：特种设备安装、拆卸应由具备相应资质的单位进行，安装完毕应经检测、验收并办理使用登记；操作人员、信号工、司索工等特种作业人员必须持证上岗。</w:t>
      </w:r>
    </w:p>
    <w:p>
      <w:pPr>
        <w:pStyle w:val="Heading3"/>
        <w:pageBreakBefore/>
        <w:spacing w:before="120"/>
      </w:pPr>
      <w:bookmarkStart w:id="83" w:name="_LarkToc00083"/>
      <w:r>
        <w:t>附件6-9　开工报建手续及资料清单</w:t>
      </w:r>
      <w:bookmarkEnd w:id="83"/>
    </w:p>
    <w:p>
      <w:pPr>
        <w:spacing w:before="0" w:after="40" w:line="312" w:lineRule="auto"/>
        <w:ind w:firstLine="0"/>
        <w:jc w:val="left"/>
      </w:pPr>
      <w:r>
        <w:rPr>
          <w:rFonts w:ascii="Times New Roman" w:hAnsi="Times New Roman" w:eastAsia="宋体"/>
          <w:b w:val="0"/>
          <w:i w:val="0"/>
          <w:color w:val="595959"/>
          <w:sz w:val="18"/>
        </w:rPr>
        <w:t>【归属】第6章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【用途】由资料员和商务人员跟踪办理，逐项登记取得情况和文件编号，未办理完成的不得擅自开工。</w:t>
      </w:r>
    </w:p>
    <w:p>
      <w:pPr>
        <w:keepNext/>
        <w:spacing w:before="80" w:after="40" w:line="288" w:lineRule="auto"/>
        <w:ind w:firstLine="0"/>
        <w:jc w:val="center"/>
      </w:pPr>
      <w:r>
        <w:rPr>
          <w:rFonts w:ascii="Times New Roman" w:hAnsi="Times New Roman" w:eastAsia="黑体"/>
          <w:b/>
          <w:i w:val="0"/>
          <w:color w:val="000000"/>
          <w:sz w:val="21"/>
        </w:rPr>
        <w:t>表6-9　开工报建手续清单</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手续/资料</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办理责任单位</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办理状态</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文件编号/日期</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归档位置</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建设用地规划许可证</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建设单位</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□取得□办理中</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建设工程规划许可证</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建设单位</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□取得□办理中</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施工许可证</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建设单位</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□取得□办理中</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工程质量监督手续</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建设/施工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□取得□办理中</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工程安全监督手续</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建设/施工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□取得□办理中</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图纸会审/设计交底</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建设/设计/监理/施工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测量控制点交接与复核</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建设/测绘/施工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开工令</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监理</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□取得</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9</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消防、环保等相关手续</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建设/施工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□取得□办理中</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注：施工许可、规划、用地等手续由建设单位办理为主，施工单位应核查并留存复印件；具体以《中华人民共和国建筑法》及项目所在地主管部门要求为准。</w:t>
      </w:r>
    </w:p>
    <w:p>
      <w:pPr>
        <w:pStyle w:val="Heading2"/>
        <w:pageBreakBefore/>
      </w:pPr>
      <w:bookmarkStart w:id="9" w:name="_LarkToc00009"/>
      <w:r>
        <w:t>第7章　施工过程（上）：进度、安全、质量、文明施工</w:t>
      </w:r>
      <w:bookmarkEnd w:id="9"/>
    </w:p>
    <w:p>
      <w:pPr>
        <w:pStyle w:val="sec_head"/>
      </w:pPr>
      <w:r>
        <w:t>7.1　进度控制：抓关键线路，打有节奏的仗</w:t>
      </w:r>
    </w:p>
    <w:p>
      <w:pPr>
        <w:spacing w:before="0" w:after="0" w:line="360" w:lineRule="auto"/>
        <w:ind w:firstLine="480"/>
        <w:jc w:val="both"/>
      </w:pPr>
      <w:r>
        <w:rPr>
          <w:rFonts w:ascii="Times New Roman" w:hAnsi="Times New Roman" w:eastAsia="宋体"/>
          <w:b w:val="0"/>
          <w:i w:val="0"/>
          <w:color w:val="000000"/>
          <w:sz w:val="24"/>
        </w:rPr>
        <w:t>进度管理要抓住主要矛盾——关键线路。总进度计划确定后，按月、周滚动分解，用“计划—实际—偏差—原因—措施—闭环”的方式动态控制。对影响关键线路的图纸、资金、材料、天气、交叉作业等因素，提前预警、及时发函，属于发包人原因造成的延误，要在合同约定时限内办理工期顺延，保留进度证据。进度不是越快越好，必须以安全、质量和成本为前提，严禁盲目抢工期、冒险作业。</w:t>
      </w:r>
    </w:p>
    <w:p>
      <w:pPr>
        <w:pStyle w:val="sec_head"/>
      </w:pPr>
      <w:r>
        <w:t>7.2　安全管理总论：安全是不可逾越的“根据地”</w:t>
      </w:r>
    </w:p>
    <w:p>
      <w:pPr>
        <w:spacing w:before="0" w:after="0" w:line="360" w:lineRule="auto"/>
        <w:ind w:firstLine="480"/>
        <w:jc w:val="both"/>
      </w:pPr>
      <w:r>
        <w:rPr>
          <w:rFonts w:ascii="Times New Roman" w:hAnsi="Times New Roman" w:eastAsia="宋体"/>
          <w:b w:val="0"/>
          <w:i w:val="0"/>
          <w:color w:val="000000"/>
          <w:sz w:val="24"/>
        </w:rPr>
        <w:t>毛泽东同志讲“保存自己、消灭敌人”，施工中“保存自己”就是先保住人的生命安全。安全是企业生存发展的底线和根据地，一旦发生事故，停产整顿、罚款、资质受限、负责人追责，所谓进度和利润都归零。必须坚持“安全第一、预防为主、综合治理”，建立健全全员安全生产责任制，保证安全投入，做到“管行业必须管安全、管业务必须管安全、管生产经营必须管安全”。</w:t>
      </w:r>
    </w:p>
    <w:p>
      <w:pPr>
        <w:spacing w:before="0" w:after="0" w:line="360" w:lineRule="auto"/>
        <w:ind w:firstLine="480"/>
        <w:jc w:val="both"/>
      </w:pPr>
      <w:r>
        <w:rPr>
          <w:rFonts w:ascii="Times New Roman" w:hAnsi="Times New Roman" w:eastAsia="宋体"/>
          <w:b w:val="0"/>
          <w:i w:val="0"/>
          <w:color w:val="000000"/>
          <w:sz w:val="24"/>
        </w:rPr>
        <w:t>安全生产费用必须足额提取、专款专用。房屋建筑工程按建筑安装工程造价的百分之三计提（月末按工程进度计提），专项用于安全防护、设施、隐患整改、教育培训、应急等，不得挪作他用。</w:t>
      </w:r>
    </w:p>
    <w:p>
      <w:pPr>
        <w:spacing w:before="20" w:after="80" w:line="288" w:lineRule="auto"/>
        <w:ind w:firstLine="0"/>
        <w:jc w:val="left"/>
      </w:pPr>
      <w:r>
        <w:rPr>
          <w:rFonts w:ascii="Times New Roman" w:hAnsi="Times New Roman" w:eastAsia="宋体"/>
          <w:b w:val="0"/>
          <w:i w:val="0"/>
          <w:color w:val="404040"/>
          <w:sz w:val="18"/>
        </w:rPr>
        <w:t>依据：《中华人民共和国安全生产法》（2021年修正）第二十三条；《企业安全生产费用提取和使用管理办法》（财资〔2022〕136号）第十七条；《建设工程安全生产管理条例》（国务院令第393号）第二十二条。</w:t>
      </w:r>
    </w:p>
    <w:p>
      <w:pPr>
        <w:pStyle w:val="sec_head"/>
      </w:pPr>
      <w:r>
        <w:t>7.3　双重预防机制：风险分级管控＋隐患排查治理</w:t>
      </w:r>
    </w:p>
    <w:p>
      <w:pPr>
        <w:spacing w:before="0" w:after="0" w:line="360" w:lineRule="auto"/>
        <w:ind w:firstLine="480"/>
        <w:jc w:val="both"/>
      </w:pPr>
      <w:r>
        <w:rPr>
          <w:rFonts w:ascii="Times New Roman" w:hAnsi="Times New Roman" w:eastAsia="宋体"/>
          <w:b w:val="0"/>
          <w:i w:val="0"/>
          <w:color w:val="000000"/>
          <w:sz w:val="24"/>
        </w:rPr>
        <w:t>要把事故消灭在萌芽，必须建立安全风险分级管控和隐患排查治理双重预防机制。先全面辨识危险源，再选择合适的方法评价风险、划分红橙黄蓝四级并落实分级管控，然后通过日常检查发现管控失效形成的隐患并闭环整改。风险是“还没出事的可能性”，隐患是“已经存在的问题”；风险分级管控是“防患于未然”，隐患排查治理是“除患于既成”。</w:t>
      </w:r>
    </w:p>
    <w:p>
      <w:pPr>
        <w:spacing w:before="0" w:after="0" w:line="360" w:lineRule="auto"/>
        <w:ind w:firstLine="480"/>
        <w:jc w:val="both"/>
      </w:pPr>
      <w:r>
        <w:rPr>
          <w:rFonts w:ascii="Times New Roman" w:hAnsi="Times New Roman" w:eastAsia="宋体"/>
          <w:b w:val="0"/>
          <w:i w:val="0"/>
          <w:color w:val="000000"/>
          <w:sz w:val="24"/>
        </w:rPr>
        <w:t>风险评价方法有多种，本指导书以施工行业常用的LS法（风险矩阵法）为主，同时并列提供LEC法、MES法、JHA工作危害分析等方法，企业可结合地方标准、风险特点和自身风险接受准则选用，一套体系内方法应保持统一。具体取值、矩阵、判定标准和示范见附件7-3。风险分级管控遵循“风险越高、管控层级越高”：重大风险（红色）由公司级管控、较大风险（橙色）由项目经理级管控、一般风险（黄色）由班组级管控、低风险（蓝色）由岗位级管控。</w:t>
      </w:r>
    </w:p>
    <w:p>
      <w:pPr>
        <w:pStyle w:val="sec_head"/>
      </w:pPr>
      <w:r>
        <w:t>7.4　危险性较大的分部分项工程：专人、专方案、专论证</w:t>
      </w:r>
    </w:p>
    <w:p>
      <w:pPr>
        <w:spacing w:before="0" w:after="0" w:line="360" w:lineRule="auto"/>
        <w:ind w:firstLine="480"/>
        <w:jc w:val="both"/>
      </w:pPr>
      <w:r>
        <w:rPr>
          <w:rFonts w:ascii="Times New Roman" w:hAnsi="Times New Roman" w:eastAsia="宋体"/>
          <w:b w:val="0"/>
          <w:i w:val="0"/>
          <w:color w:val="000000"/>
          <w:sz w:val="24"/>
        </w:rPr>
        <w:t>对危大工程（深基坑、高大模板、起重吊装及安拆、脚手架、拆除爆破等），必须编制专项施工方案并按规定编审签字；超过一定规模的危大工程，必须组织不少于5名专家论证，论证通过并经施工单位技术负责人、总监理工程师签字盖章后实施。施工前要进行安全技术交底，施工中安排专人现场监督，关键节点验收合格后方可进入下一道工序。</w:t>
      </w:r>
    </w:p>
    <w:p>
      <w:pPr>
        <w:pStyle w:val="sec_head"/>
      </w:pPr>
      <w:r>
        <w:t>7.5　隐患排查治理：五定原则、闭环管理</w:t>
      </w:r>
    </w:p>
    <w:p>
      <w:pPr>
        <w:spacing w:before="0" w:after="0" w:line="360" w:lineRule="auto"/>
        <w:ind w:firstLine="480"/>
        <w:jc w:val="both"/>
      </w:pPr>
      <w:r>
        <w:rPr>
          <w:rFonts w:ascii="Times New Roman" w:hAnsi="Times New Roman" w:eastAsia="宋体"/>
          <w:b w:val="0"/>
          <w:i w:val="0"/>
          <w:color w:val="000000"/>
          <w:sz w:val="24"/>
        </w:rPr>
        <w:t>隐患排查要日常巡查、专项检查、综合检查、季节性检查、节假日检查相结合，对查出的隐患实行“定人、定时、定措施、定资金、定预案”的五定整改，做到整改责任人、措施、资金、时限、预案五落实，并复查销号，形成“发现—登记—整改—复查—销号”的闭环。重大隐患必须停工整改，严禁带病作业。</w:t>
      </w:r>
    </w:p>
    <w:p>
      <w:pPr>
        <w:pStyle w:val="sec_head"/>
      </w:pPr>
      <w:r>
        <w:t>7.6　各专项安全：把高频“杀手”一个个管住</w:t>
      </w:r>
    </w:p>
    <w:p>
      <w:pPr>
        <w:spacing w:before="0" w:after="0" w:line="360" w:lineRule="auto"/>
        <w:ind w:firstLine="480"/>
        <w:jc w:val="both"/>
      </w:pPr>
      <w:r>
        <w:rPr>
          <w:rFonts w:ascii="Times New Roman" w:hAnsi="Times New Roman" w:eastAsia="宋体"/>
          <w:b w:val="0"/>
          <w:i w:val="0"/>
          <w:color w:val="000000"/>
          <w:sz w:val="24"/>
        </w:rPr>
        <w:t>高处坠落、物体打击、坍塌、机械伤害、触电、起重伤害、火灾是施工行业的主要事故类型，要重点管住：基坑（支护、监测、临边、防坍塌）、脚手架（基础、连墙件、扫地杆、剪刀撑、验收）、模板支撑体系（搭设、验收、混凝土浇筑顺序、拆除）、高处作业（三宝四口五临边、安全带高挂低用）、临时用电（三级配电、两级保护、一机一闸一漏一箱、TN-S接零保护）、起重机械（限位、保险、检测验收、持证指挥）、消防（动火审批、易燃物、灭火器、临时消防水源）、有限空间（先通风、再检测、后作业，严禁盲目施救）。具体对照标准见附件7-7。</w:t>
      </w:r>
    </w:p>
    <w:p>
      <w:pPr>
        <w:pStyle w:val="sec_head"/>
      </w:pPr>
      <w:r>
        <w:t>7.7　应急管理：宁可十防九空，不可失防万一</w:t>
      </w:r>
    </w:p>
    <w:p>
      <w:pPr>
        <w:spacing w:before="0" w:after="0" w:line="360" w:lineRule="auto"/>
        <w:ind w:firstLine="480"/>
        <w:jc w:val="both"/>
      </w:pPr>
      <w:r>
        <w:rPr>
          <w:rFonts w:ascii="Times New Roman" w:hAnsi="Times New Roman" w:eastAsia="宋体"/>
          <w:b w:val="0"/>
          <w:i w:val="0"/>
          <w:color w:val="000000"/>
          <w:sz w:val="24"/>
        </w:rPr>
        <w:t>应编制生产安全事故综合应急预案、专项预案和现场处置方案，配备应急物资，定期组织演练，明确报告程序。事故发生后，现场人员立即报告，单位负责人接报后应当于1小时内向事故发生地县级以上应急管理部门和有关主管部门报告，不得迟报、漏报、谎报、瞒报，不得故意破坏现场。</w:t>
      </w:r>
    </w:p>
    <w:p>
      <w:pPr>
        <w:spacing w:before="20" w:after="80" w:line="288" w:lineRule="auto"/>
        <w:ind w:firstLine="0"/>
        <w:jc w:val="left"/>
      </w:pPr>
      <w:r>
        <w:rPr>
          <w:rFonts w:ascii="Times New Roman" w:hAnsi="Times New Roman" w:eastAsia="宋体"/>
          <w:b w:val="0"/>
          <w:i w:val="0"/>
          <w:color w:val="404040"/>
          <w:sz w:val="18"/>
        </w:rPr>
        <w:t>依据：《生产安全事故报告和调查处理条例》（国务院令第493号）第九条：单位负责人接报后1小时内报告；事故等级按死亡、重伤、直接经济损失分为特别重大、重大、较大、一般四级（第三条）。</w:t>
      </w:r>
    </w:p>
    <w:p>
      <w:pPr>
        <w:pStyle w:val="sec_head"/>
      </w:pPr>
      <w:r>
        <w:t>7.8　质量管理：一次做对、样板引路、过程留痕</w:t>
      </w:r>
    </w:p>
    <w:p>
      <w:pPr>
        <w:spacing w:before="0" w:after="0" w:line="360" w:lineRule="auto"/>
        <w:ind w:firstLine="480"/>
        <w:jc w:val="both"/>
      </w:pPr>
      <w:r>
        <w:rPr>
          <w:rFonts w:ascii="Times New Roman" w:hAnsi="Times New Roman" w:eastAsia="宋体"/>
          <w:b w:val="0"/>
          <w:i w:val="0"/>
          <w:color w:val="000000"/>
          <w:sz w:val="24"/>
        </w:rPr>
        <w:t>质量是干出来的，不是验出来的。要建立质量责任制，推行PDCA循环和样板引路：先做工序样板、首件样板，经建设、监理、施工三方验收合格并交底后再大面积施工。按检验批、分项、分部、单位工程逐级验收，上道工序不合格不得进入下道工序，隐蔽工程必须验收并留存影像。对渗漏、开裂、空鼓、尺寸偏差、蜂窝麻面等质量通病，制定预防措施并跟踪整改。</w:t>
      </w:r>
    </w:p>
    <w:p>
      <w:pPr>
        <w:pStyle w:val="sec_head"/>
      </w:pPr>
      <w:r>
        <w:t>7.9　绿色文明施工：扬尘、噪声、渣土、节材节能</w:t>
      </w:r>
    </w:p>
    <w:p>
      <w:pPr>
        <w:spacing w:before="0" w:after="0" w:line="360" w:lineRule="auto"/>
        <w:ind w:firstLine="480"/>
        <w:jc w:val="both"/>
      </w:pPr>
      <w:r>
        <w:rPr>
          <w:rFonts w:ascii="Times New Roman" w:hAnsi="Times New Roman" w:eastAsia="宋体"/>
          <w:b w:val="0"/>
          <w:i w:val="0"/>
          <w:color w:val="000000"/>
          <w:sz w:val="24"/>
        </w:rPr>
        <w:t>文明施工既是合规要求也是企业形象。扬尘防治落实“六个百分之百”：工地周边100%围挡、物料堆放100%覆盖、出入车辆100%冲洗、施工现场地面100%硬化、拆迁工地100%湿法作业、渣土车辆100%密闭运输。噪声排放执行《建筑施工噪声排放标准》GB 12523—2025（自2026年1月1日起实施，代替GB 12523—2011），施工场界昼间不超过70分贝、夜间不超过55分贝，夜间为晚10点至次日早6点；夜间确需施工的应办理夜间施工许可并公告。同时落实节材、节水、节能、节地和环境保护（四节一环保）。</w:t>
      </w:r>
    </w:p>
    <w:p>
      <w:pPr>
        <w:pStyle w:val="attach_div"/>
        <w:pageBreakBefore/>
        <w:jc w:val="center"/>
      </w:pPr>
      <w:r>
        <w:t>第7章　章末附件</w:t>
      </w:r>
    </w:p>
    <w:p>
      <w:pPr>
        <w:spacing w:before="0" w:after="0" w:line="360" w:lineRule="auto"/>
        <w:ind w:firstLine="480"/>
        <w:jc w:val="both"/>
      </w:pPr>
      <w:r>
        <w:rPr>
          <w:rFonts w:ascii="Times New Roman" w:hAnsi="Times New Roman" w:eastAsia="宋体"/>
          <w:b w:val="0"/>
          <w:i w:val="0"/>
          <w:color w:val="000000"/>
          <w:sz w:val="24"/>
        </w:rPr>
        <w:t>本页之后为《施工过程（上）：进度、安全、质量、文明施工》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84" w:name="_LarkToc00084"/>
      <w:r>
        <w:t>附件7-1　进度计划执行与偏差分析表（月/周）</w:t>
      </w:r>
      <w:bookmarkEnd w:id="84"/>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【用途】每月（或每周）由生产经理组织，对比计划与实际，分析偏差原因，区分责任并制定纠偏措施；发包人原因导致延误的，同步发函办理工期顺延。</w:t>
      </w:r>
    </w:p>
    <w:p>
      <w:pPr>
        <w:keepNext/>
        <w:spacing w:before="80" w:after="40" w:line="288" w:lineRule="auto"/>
        <w:ind w:firstLine="0"/>
        <w:jc w:val="center"/>
      </w:pPr>
      <w:r>
        <w:rPr>
          <w:rFonts w:ascii="Times New Roman" w:hAnsi="Times New Roman" w:eastAsia="黑体"/>
          <w:b/>
          <w:i w:val="0"/>
          <w:color w:val="000000"/>
          <w:sz w:val="21"/>
        </w:rPr>
        <w:t>表7-1　进度偏差分析与纠偏表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工作项</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计划开始/完成</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实际开始/完成</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偏差（天）</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是否关键线路</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偏差原因</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责任归属</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工期顺延/索赔</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纠偏措施</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□我方□发包人□不可抗力</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□办理□否</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85" w:name="_LarkToc00085"/>
      <w:r>
        <w:t>附件7-2　安全生产基本管理台账（责任、目标、会议、检查总览）</w:t>
      </w:r>
      <w:bookmarkEnd w:id="85"/>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【用途】由安全总监按月汇总，反映项目安全管理体系运行情况，是各类检查、审计和事故调查的基础记录。</w:t>
      </w:r>
    </w:p>
    <w:p>
      <w:pPr>
        <w:keepNext/>
        <w:spacing w:before="80" w:after="40" w:line="288" w:lineRule="auto"/>
        <w:ind w:firstLine="0"/>
        <w:jc w:val="center"/>
      </w:pPr>
      <w:r>
        <w:rPr>
          <w:rFonts w:ascii="Times New Roman" w:hAnsi="Times New Roman" w:eastAsia="黑体"/>
          <w:b/>
          <w:i w:val="0"/>
          <w:color w:val="000000"/>
          <w:sz w:val="21"/>
        </w:rPr>
        <w:t>表7-2　安全生产管理月度运行台账</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管理事项</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具体内容/要求</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本月完成情况</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存在问题</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整改情况</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责任制</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全员安全生产责任书签订、履职考核</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安全目标</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事故控制、达标创优目标分解</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安全会议</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安全领导小组会、周例会、班前会</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安全投入</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安全费计提与使用（见附件7-11）</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风险管控</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危险源辨识、四色清单更新</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隐患排查</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各类检查、隐患整改闭环</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教育培训</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三级教育、特种作业、交底</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危大工程</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方案、论证、验收、专人监督</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应急管理</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预案、物资、演练</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86" w:name="_LarkToc00086"/>
      <w:r>
        <w:t>附件7-3　安全风险评价工具包（LS／LEC／MES／JHA 四种方法）</w:t>
      </w:r>
      <w:bookmarkEnd w:id="86"/>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本工具包给出风险评价的四种常用方法，企业以一种为主、保持统一。推荐施工企业用LS法快速分级；对作业条件复杂、需要体现暴露频率的可用LEC或MES；对具体作业步骤拆解识别用JHA。所有方法评出的红色风险均应直接纳入公司级管控。</w:t>
      </w:r>
    </w:p>
    <w:p>
      <w:pPr>
        <w:keepNext/>
        <w:spacing w:before="80" w:after="40" w:line="288" w:lineRule="auto"/>
        <w:ind w:firstLine="0"/>
        <w:jc w:val="center"/>
      </w:pPr>
      <w:r>
        <w:rPr>
          <w:rFonts w:ascii="Times New Roman" w:hAnsi="Times New Roman" w:eastAsia="黑体"/>
          <w:b/>
          <w:i w:val="0"/>
          <w:color w:val="000000"/>
          <w:sz w:val="21"/>
        </w:rPr>
        <w:t>表7-3-0　风险评价方法选择对照表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方法</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核心公式/思路</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适用场景</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优点</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局限</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LS法（风险矩阵）</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R=L×S（可能性×后果）</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施工现场快速分级、四色管控</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简单直观、易推广</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分级较粗，依赖经验</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LEC法</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D=L×E×C（可能性×暴露×后果）</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作业条件危险性评价</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考虑暴露频率，较细</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取值主观性较强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MES法</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R=M×E×S（措施×暴露×后果）</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体现现有控制措施有效性</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反映管控措施状态</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M取值需结合现场</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JHA工作危害分析</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按作业步骤逐项识别危害</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具体作业、检修、非常规作业</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针对性强、可直接指导</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不直接给总分，需配矩阵</w:t>
            </w:r>
          </w:p>
        </w:tc>
      </w:tr>
    </w:tbl>
    <w:p>
      <w:pPr>
        <w:spacing w:before="0" w:after="0" w:line="360" w:lineRule="auto"/>
        <w:ind w:firstLine="480"/>
        <w:jc w:val="both"/>
      </w:pPr>
      <w:r>
        <w:rPr>
          <w:rFonts w:ascii="Times New Roman" w:hAnsi="Times New Roman" w:eastAsia="宋体"/>
          <w:b w:val="0"/>
          <w:i w:val="0"/>
          <w:color w:val="000000"/>
          <w:sz w:val="24"/>
        </w:rPr>
        <w:t>一、LS法（推荐主用）。R=L×S，L为事故发生可能性（1—5分），S为后果严重程度（1—5分），R为风险值，对照矩阵分为红、橙、黄、蓝四级。</w:t>
      </w:r>
    </w:p>
    <w:p>
      <w:pPr>
        <w:keepNext/>
        <w:spacing w:before="80" w:after="40" w:line="288" w:lineRule="auto"/>
        <w:ind w:firstLine="0"/>
        <w:jc w:val="center"/>
      </w:pPr>
      <w:r>
        <w:rPr>
          <w:rFonts w:ascii="Times New Roman" w:hAnsi="Times New Roman" w:eastAsia="黑体"/>
          <w:b/>
          <w:i w:val="0"/>
          <w:color w:val="000000"/>
          <w:sz w:val="21"/>
        </w:rPr>
        <w:t>表7-3-1　事故发生可能性L取值标准</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L值</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6236"/>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判定参考</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极可能</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在现场常态下几乎必然发生，或无任何控制措施、同类事故反复发生</w:t>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很可能</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很可能发生，控制措施缺失或失效，现场违章普遍</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可能</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可能发生，控制措施不完全或执行不到位</w:t>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较不可能</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不太可能发生，有较完善控制措施并基本执行</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极不可能</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几乎不发生，控制措施充分有效、严格执行</w:t>
            </w:r>
          </w:p>
        </w:tc>
      </w:tr>
    </w:tbl>
    <w:p>
      <w:pPr>
        <w:keepNext/>
        <w:spacing w:before="80" w:after="40" w:line="288" w:lineRule="auto"/>
        <w:ind w:firstLine="0"/>
        <w:jc w:val="center"/>
      </w:pPr>
      <w:r>
        <w:rPr>
          <w:rFonts w:ascii="Times New Roman" w:hAnsi="Times New Roman" w:eastAsia="黑体"/>
          <w:b/>
          <w:i w:val="0"/>
          <w:color w:val="000000"/>
          <w:sz w:val="21"/>
        </w:rPr>
        <w:t>表7-3-2　后果严重程度S取值标准</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S值</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人员伤害</w:t>
            </w:r>
          </w:p>
        </w:tc>
        <w:tc>
          <w:tcPr>
            <w:tcW w:type="dxa" w:w="351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财产损失/影响</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极严重</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可能造成死亡或多人重伤</w:t>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重大经济损失、重大社会影响</w:t>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4</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严重</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可能造成重伤</w:t>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较大损失、停工整顿</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较严重</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可能造成轻伤需住院</w:t>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一定损失、局部影响</w:t>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一般</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轻微受伤、门诊处理</w:t>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较小损失</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轻微</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无伤害或急救即可</w:t>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无明显损失</w:t>
            </w:r>
          </w:p>
        </w:tc>
      </w:tr>
    </w:tbl>
    <w:p>
      <w:pPr>
        <w:keepNext/>
        <w:spacing w:before="80" w:after="40" w:line="288" w:lineRule="auto"/>
        <w:ind w:firstLine="0"/>
        <w:jc w:val="center"/>
      </w:pPr>
      <w:r>
        <w:rPr>
          <w:rFonts w:ascii="Times New Roman" w:hAnsi="Times New Roman" w:eastAsia="黑体"/>
          <w:b/>
          <w:i w:val="0"/>
          <w:color w:val="000000"/>
          <w:sz w:val="21"/>
        </w:rPr>
        <w:t>表7-3-3　风险矩阵R=L×S与四色分级（行为S，列为L）</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S ＼ L</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L=1</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L=2</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L=3</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L=4</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L=5</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S=5</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5</w:t>
            </w:r>
          </w:p>
        </w:tc>
        <w:tc>
          <w:tcPr>
            <w:tcW w:type="dxa" w:w="1361"/>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10</w:t>
            </w:r>
          </w:p>
        </w:tc>
        <w:tc>
          <w:tcPr>
            <w:tcW w:type="dxa" w:w="1361"/>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15</w:t>
            </w:r>
          </w:p>
        </w:tc>
        <w:tc>
          <w:tcPr>
            <w:tcW w:type="dxa" w:w="1361"/>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20</w:t>
            </w:r>
          </w:p>
        </w:tc>
        <w:tc>
          <w:tcPr>
            <w:tcW w:type="dxa" w:w="1361"/>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25</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S=4</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4</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8</w:t>
            </w:r>
          </w:p>
        </w:tc>
        <w:tc>
          <w:tcPr>
            <w:tcW w:type="dxa" w:w="1361"/>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12</w:t>
            </w:r>
          </w:p>
        </w:tc>
        <w:tc>
          <w:tcPr>
            <w:tcW w:type="dxa" w:w="1361"/>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16</w:t>
            </w:r>
          </w:p>
        </w:tc>
        <w:tc>
          <w:tcPr>
            <w:tcW w:type="dxa" w:w="1361"/>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20</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S=3</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3</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6</w:t>
            </w:r>
          </w:p>
        </w:tc>
        <w:tc>
          <w:tcPr>
            <w:tcW w:type="dxa" w:w="1361"/>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9</w:t>
            </w:r>
          </w:p>
        </w:tc>
        <w:tc>
          <w:tcPr>
            <w:tcW w:type="dxa" w:w="1361"/>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12</w:t>
            </w:r>
          </w:p>
        </w:tc>
        <w:tc>
          <w:tcPr>
            <w:tcW w:type="dxa" w:w="1361"/>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15</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S=2</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2</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4</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6</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8</w:t>
            </w:r>
          </w:p>
        </w:tc>
        <w:tc>
          <w:tcPr>
            <w:tcW w:type="dxa" w:w="1361"/>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10</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22"/>
              </w:rPr>
              <w:t>S=1</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1</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2</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3</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4</w:t>
            </w:r>
          </w:p>
        </w:tc>
        <w:tc>
          <w:tcPr>
            <w:tcW w:type="dxa" w:w="1361"/>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22"/>
              </w:rPr>
              <w:t>5</w:t>
            </w:r>
          </w:p>
        </w:tc>
      </w:tr>
    </w:tbl>
    <w:p>
      <w:pPr>
        <w:keepNext/>
        <w:spacing w:before="80" w:after="40" w:line="288" w:lineRule="auto"/>
        <w:ind w:firstLine="0"/>
        <w:jc w:val="center"/>
      </w:pPr>
      <w:r>
        <w:rPr>
          <w:rFonts w:ascii="Times New Roman" w:hAnsi="Times New Roman" w:eastAsia="黑体"/>
          <w:b/>
          <w:i w:val="0"/>
          <w:color w:val="000000"/>
          <w:sz w:val="21"/>
        </w:rPr>
        <w:t>表7-3-4　风险分级、管控层级与处置要求</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R值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颜色</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管控层级</w:t>
            </w:r>
          </w:p>
        </w:tc>
        <w:tc>
          <w:tcPr>
            <w:tcW w:type="dxa" w:w="340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处置要求</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20—25</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红</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重大风险</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公司级（主要负责人）</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立即停工/停止作业，专项治理，挂牌督办，验收合格前不得复工</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15—19</w:t>
            </w:r>
          </w:p>
        </w:tc>
        <w:tc>
          <w:tcPr>
            <w:tcW w:type="dxa" w:w="794"/>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橙</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较大风险</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项目经理级</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制定措施、限期整改，加强监控</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9—14</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黄</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一般风险</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班组级</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落实措施、规范作业、加强检查</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1—8</w:t>
            </w:r>
          </w:p>
        </w:tc>
        <w:tc>
          <w:tcPr>
            <w:tcW w:type="dxa" w:w="794"/>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蓝</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低风险</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岗位级</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按规程作业、日常注意</w:t>
            </w:r>
          </w:p>
        </w:tc>
      </w:tr>
    </w:tbl>
    <w:p>
      <w:pPr>
        <w:spacing w:before="0" w:after="0" w:line="360" w:lineRule="auto"/>
        <w:ind w:firstLine="480"/>
        <w:jc w:val="both"/>
      </w:pPr>
      <w:r>
        <w:rPr>
          <w:rFonts w:ascii="Times New Roman" w:hAnsi="Times New Roman" w:eastAsia="宋体"/>
          <w:b w:val="0"/>
          <w:i w:val="0"/>
          <w:color w:val="000000"/>
          <w:sz w:val="24"/>
        </w:rPr>
        <w:t>二、直接判定为重大风险（红色）的情形。凡符合下列任一情形，无论LS得分多少，直接定为红色，并按重大风险管控：（1）违反法律、法规及强制性标准条款的；（2）曾发生死亡、重伤、职业病或重大财产损失，且现有条件仍存在的；（3）涉及重大危险源的；（4）在中毒、爆炸、火灾等危险场所作业，且作业人员10人以上的；（5）经评价为最高风险等级的。</w:t>
      </w:r>
    </w:p>
    <w:p>
      <w:pPr>
        <w:keepNext/>
        <w:spacing w:before="80" w:after="40" w:line="288" w:lineRule="auto"/>
        <w:ind w:firstLine="0"/>
        <w:jc w:val="center"/>
      </w:pPr>
      <w:r>
        <w:rPr>
          <w:rFonts w:ascii="Times New Roman" w:hAnsi="Times New Roman" w:eastAsia="黑体"/>
          <w:b/>
          <w:i w:val="0"/>
          <w:color w:val="000000"/>
          <w:sz w:val="21"/>
        </w:rPr>
        <w:t>表7-3-5　施工现场典型作业风险评价示范（合规态与失控态对照）</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典型作业</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主要事故类型</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合规状态（L×S=R/等级）</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失控状态（L×S=R/等级）</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关键管控措施</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深基坑作业</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坍塌</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L2×S5=10 黄</w:t>
            </w:r>
          </w:p>
        </w:tc>
        <w:tc>
          <w:tcPr>
            <w:tcW w:type="dxa" w:w="1701"/>
            <w:shd w:val="clear" w:color="auto" w:fill="C00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L4×S5=20 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支护、降排水、监测、限载、专项方案</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高大模板支撑</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坍塌</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L2×S5=10 黄</w:t>
            </w:r>
          </w:p>
        </w:tc>
        <w:tc>
          <w:tcPr>
            <w:tcW w:type="dxa" w:w="1701"/>
            <w:shd w:val="clear" w:color="auto" w:fill="C00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L4×S5=20 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方案论证、验收、浇筑顺序、专人监护</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塔式起重机</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起重伤害</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L2×S5=10 黄</w:t>
            </w:r>
          </w:p>
        </w:tc>
        <w:tc>
          <w:tcPr>
            <w:tcW w:type="dxa" w:w="1701"/>
            <w:shd w:val="clear" w:color="auto" w:fill="C00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L4×S5=20 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检测验收、限位、持证指挥、十不吊</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施工升降机</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高处坠落/机械</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L2×S5=10 黄</w:t>
            </w:r>
          </w:p>
        </w:tc>
        <w:tc>
          <w:tcPr>
            <w:tcW w:type="dxa" w:w="1701"/>
            <w:shd w:val="clear" w:color="auto" w:fill="C00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L4×S5=20 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检测、限载、联锁门、防坠器</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临边洞口作业</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高处坠落</w:t>
            </w:r>
          </w:p>
        </w:tc>
        <w:tc>
          <w:tcPr>
            <w:tcW w:type="dxa" w:w="1701"/>
            <w:shd w:val="clear" w:color="auto" w:fill="2E75B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L2×S4=8 蓝</w:t>
            </w:r>
          </w:p>
        </w:tc>
        <w:tc>
          <w:tcPr>
            <w:tcW w:type="dxa" w:w="1701"/>
            <w:shd w:val="clear" w:color="auto" w:fill="E36C0A"/>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L4×S4=16 橙</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三宝四口五临边、防护、安全带高挂</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临时用电</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触电</w:t>
            </w:r>
          </w:p>
        </w:tc>
        <w:tc>
          <w:tcPr>
            <w:tcW w:type="dxa" w:w="1701"/>
            <w:shd w:val="clear" w:color="auto" w:fill="2E75B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L2×S3=6 蓝</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L3×S4=12 黄</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三级配电两级保护、一机一闸一漏一箱</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有限空间作业</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中毒窒息</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L2×S5=10 黄</w:t>
            </w:r>
          </w:p>
        </w:tc>
        <w:tc>
          <w:tcPr>
            <w:tcW w:type="dxa" w:w="1701"/>
            <w:shd w:val="clear" w:color="auto" w:fill="C00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L4×S5=20 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先通风再检测后作业、专人监护、严禁盲目施救</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动火作业</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火灾</w:t>
            </w:r>
          </w:p>
        </w:tc>
        <w:tc>
          <w:tcPr>
            <w:tcW w:type="dxa" w:w="1701"/>
            <w:shd w:val="clear" w:color="auto" w:fill="2E75B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L2×S3=6 蓝</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L3×S4=12 黄</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动火审批、看火人、灭火器材、清除可燃物</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脚手架搭拆</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高处坠落/坍塌</w:t>
            </w:r>
          </w:p>
        </w:tc>
        <w:tc>
          <w:tcPr>
            <w:tcW w:type="dxa" w:w="1701"/>
            <w:shd w:val="clear" w:color="auto" w:fill="2E75B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FFFFFF"/>
                <w:sz w:val="18"/>
              </w:rPr>
              <w:t>L2×S4=8 蓝</w:t>
            </w:r>
          </w:p>
        </w:tc>
        <w:tc>
          <w:tcPr>
            <w:tcW w:type="dxa" w:w="1701"/>
            <w:shd w:val="clear" w:color="auto" w:fill="FFC00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L3×S4=12 黄</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基础、连墙件、剪刀撑、验收、持证</w:t>
            </w:r>
          </w:p>
        </w:tc>
      </w:tr>
    </w:tbl>
    <w:p>
      <w:pPr>
        <w:spacing w:before="0" w:after="0" w:line="360" w:lineRule="auto"/>
        <w:ind w:firstLine="480"/>
        <w:jc w:val="both"/>
      </w:pPr>
      <w:r>
        <w:rPr>
          <w:rFonts w:ascii="Times New Roman" w:hAnsi="Times New Roman" w:eastAsia="宋体"/>
          <w:b w:val="0"/>
          <w:i w:val="0"/>
          <w:color w:val="000000"/>
          <w:sz w:val="24"/>
        </w:rPr>
        <w:t>三、LEC法（作业条件危险性评价）。D=L×E×C。L为事故发生可能性（0.1—10）、E为暴露于危险环境的频繁程度（0.5—10）、C为发生事故的后果（1—100）。</w:t>
      </w:r>
    </w:p>
    <w:p>
      <w:pPr>
        <w:keepNext/>
        <w:spacing w:before="80" w:after="40" w:line="288" w:lineRule="auto"/>
        <w:ind w:firstLine="0"/>
        <w:jc w:val="center"/>
      </w:pPr>
      <w:r>
        <w:rPr>
          <w:rFonts w:ascii="Times New Roman" w:hAnsi="Times New Roman" w:eastAsia="黑体"/>
          <w:b/>
          <w:i w:val="0"/>
          <w:color w:val="000000"/>
          <w:sz w:val="21"/>
        </w:rPr>
        <w:t>表7-3-6　LEC法取值与分级</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分值</w:t>
            </w:r>
          </w:p>
        </w:tc>
        <w:tc>
          <w:tcPr>
            <w:tcW w:type="dxa" w:w="5443"/>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取值说明</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L 可能性</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10/6/3/1/0.5/0.2/0.1</w:t>
            </w:r>
          </w:p>
        </w:tc>
        <w:tc>
          <w:tcPr>
            <w:tcW w:type="dxa" w:w="54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完全可以预料/相当可能/可能但不经常/可能性小完全意外/很不可能/极不可能/实际不可能</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E 暴露频率</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10/6/3/2/1/0.5</w:t>
            </w:r>
          </w:p>
        </w:tc>
        <w:tc>
          <w:tcPr>
            <w:tcW w:type="dxa" w:w="54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连续暴露/每天工作时间/每周一次或偶然/每月一次/每年几次/非常罕见</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C 后果</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100/40/15/7/2/1</w:t>
            </w:r>
          </w:p>
        </w:tc>
        <w:tc>
          <w:tcPr>
            <w:tcW w:type="dxa" w:w="54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10人以上死亡或50人以上重伤/3-10人死亡或10-50重伤/3人以下死亡或10人以下重伤/丧失劳动能力或骨折/轻微伤/无伤亡</w:t>
            </w:r>
          </w:p>
        </w:tc>
      </w:tr>
    </w:tbl>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D=L×E×C</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风险等级</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颜色</w:t>
            </w:r>
          </w:p>
        </w:tc>
        <w:tc>
          <w:tcPr>
            <w:tcW w:type="dxa" w:w="408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处置要求</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D&gt;320</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1级 极其危险</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红</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降低危害前不能继续作业，立即停止、评估改进</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160≤D≤320</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2级 高度危险</w:t>
            </w:r>
          </w:p>
        </w:tc>
        <w:tc>
          <w:tcPr>
            <w:tcW w:type="dxa" w:w="794"/>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橙</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采取紧急措施降低风险，立即或近期整改</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70≤D&lt;160</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3级 显著危险</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黄</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建立目标、操作规程，加强培训沟通</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D&lt;70</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4级 轻度危险</w:t>
            </w:r>
          </w:p>
        </w:tc>
        <w:tc>
          <w:tcPr>
            <w:tcW w:type="dxa" w:w="794"/>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蓝</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建立作业指导书，定期检查</w:t>
            </w:r>
          </w:p>
        </w:tc>
      </w:tr>
    </w:tbl>
    <w:p>
      <w:pPr>
        <w:spacing w:before="0" w:after="0" w:line="360" w:lineRule="auto"/>
        <w:ind w:firstLine="480"/>
        <w:jc w:val="both"/>
      </w:pPr>
      <w:r>
        <w:rPr>
          <w:rFonts w:ascii="Times New Roman" w:hAnsi="Times New Roman" w:eastAsia="宋体"/>
          <w:b w:val="0"/>
          <w:i w:val="0"/>
          <w:color w:val="000000"/>
          <w:sz w:val="24"/>
        </w:rPr>
        <w:t>四、MES法（风险程度分析）。R=M×E×S。M为控制措施状态、E为暴露频率、S为事故后果。</w:t>
      </w:r>
    </w:p>
    <w:p>
      <w:pPr>
        <w:keepNext/>
        <w:spacing w:before="80" w:after="40" w:line="288" w:lineRule="auto"/>
        <w:ind w:firstLine="0"/>
        <w:jc w:val="center"/>
      </w:pPr>
      <w:r>
        <w:rPr>
          <w:rFonts w:ascii="Times New Roman" w:hAnsi="Times New Roman" w:eastAsia="黑体"/>
          <w:b/>
          <w:i w:val="0"/>
          <w:color w:val="000000"/>
          <w:sz w:val="21"/>
        </w:rPr>
        <w:t>表7-3-7　MES法取值与分级</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分值</w:t>
            </w:r>
          </w:p>
        </w:tc>
        <w:tc>
          <w:tcPr>
            <w:tcW w:type="dxa" w:w="5443"/>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取值说明</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M 控制措施</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5/3/1</w:t>
            </w:r>
          </w:p>
        </w:tc>
        <w:tc>
          <w:tcPr>
            <w:tcW w:type="dxa" w:w="54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无控制措施/有减轻后果的应急措施（报警、个体防护）/有预防措施（如防护装置且有效）</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E 暴露频率</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10/6/3/2/1/0.5</w:t>
            </w:r>
          </w:p>
        </w:tc>
        <w:tc>
          <w:tcPr>
            <w:tcW w:type="dxa" w:w="54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连续暴露/每天/每周一次或偶然/每月一次/每年几次/更少</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S 后果</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10/8/4/2/1</w:t>
            </w:r>
          </w:p>
        </w:tc>
        <w:tc>
          <w:tcPr>
            <w:tcW w:type="dxa" w:w="54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多人死亡或损失&gt;1000万/一人死亡或多人永久失能/一人永久失能/需医院治疗缺工/轻微急救</w:t>
            </w:r>
          </w:p>
        </w:tc>
      </w:tr>
    </w:tbl>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R=M×E×S</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颜色</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R=M×E×S</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颜色</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R&gt;180</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1级</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红</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20≤R≤48</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4级</w:t>
            </w:r>
          </w:p>
        </w:tc>
        <w:tc>
          <w:tcPr>
            <w:tcW w:type="dxa" w:w="794"/>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蓝</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90≤R≤150</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2级</w:t>
            </w:r>
          </w:p>
        </w:tc>
        <w:tc>
          <w:tcPr>
            <w:tcW w:type="dxa" w:w="794"/>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橙</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R≤18</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5级</w:t>
            </w:r>
          </w:p>
        </w:tc>
        <w:tc>
          <w:tcPr>
            <w:tcW w:type="dxa" w:w="794"/>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9"/>
              </w:rPr>
              <w:t>蓝</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50≤R≤80</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3级</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黄</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w:t>
            </w:r>
          </w:p>
        </w:tc>
      </w:tr>
    </w:tbl>
    <w:p>
      <w:pPr>
        <w:spacing w:before="0" w:after="0" w:line="360" w:lineRule="auto"/>
        <w:ind w:firstLine="480"/>
        <w:jc w:val="both"/>
      </w:pPr>
      <w:r>
        <w:rPr>
          <w:rFonts w:ascii="Times New Roman" w:hAnsi="Times New Roman" w:eastAsia="宋体"/>
          <w:b w:val="0"/>
          <w:i w:val="0"/>
          <w:color w:val="000000"/>
          <w:sz w:val="24"/>
        </w:rPr>
        <w:t>五、JHA工作危害分析。把一项作业分解为若干步骤，逐步骤识别危害、评估风险、确定控制措施和责任人。JHA不直接给总分，可配合LS或LEC确定等级。</w:t>
      </w:r>
    </w:p>
    <w:p>
      <w:pPr>
        <w:keepNext/>
        <w:spacing w:before="80" w:after="40" w:line="288" w:lineRule="auto"/>
        <w:ind w:firstLine="0"/>
        <w:jc w:val="center"/>
      </w:pPr>
      <w:r>
        <w:rPr>
          <w:rFonts w:ascii="Times New Roman" w:hAnsi="Times New Roman" w:eastAsia="黑体"/>
          <w:b/>
          <w:i w:val="0"/>
          <w:color w:val="000000"/>
          <w:sz w:val="21"/>
        </w:rPr>
        <w:t>表7-3-8　JHA工作危害分析记录表（空白）</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作业步骤</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危险源/危害</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可能后果</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风险等级（LS/LEC）</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现有控制措施</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补充措施</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依据：LS法分级参考DB37/T 2882—2016《安全生产风险分级管控体系通则》及地方建筑施工风险分级管控实施指南；LEC、MES取值与分级参考各地安全生产风险分级管控体系细则（L、E、C、M、S判定准则）。各地取值与四色阈值可能略有差异，企业应结合项目所在地标准和自身风险接受准则确定，一套体系内保持一致；直接判定重大风险的具体情形以现行地方标准为准。</w:t>
      </w:r>
    </w:p>
    <w:p>
      <w:pPr>
        <w:pStyle w:val="Heading3"/>
        <w:pageBreakBefore/>
        <w:spacing w:before="120"/>
      </w:pPr>
      <w:bookmarkStart w:id="87" w:name="_LarkToc00087"/>
      <w:r>
        <w:t>附件7-4　危险源辨识与风险分级管控清单</w:t>
      </w:r>
      <w:bookmarkEnd w:id="87"/>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【用途】用附件7-3的方法评出结果后，汇总形成本清单，作为四色分布图、安全告知牌和分级管控的依据，随施工进展动态更新；每个风险点按其中最高风险等级定级别。</w:t>
      </w:r>
    </w:p>
    <w:p>
      <w:pPr>
        <w:keepNext/>
        <w:spacing w:before="80" w:after="40" w:line="288" w:lineRule="auto"/>
        <w:ind w:firstLine="0"/>
        <w:jc w:val="center"/>
      </w:pPr>
      <w:r>
        <w:rPr>
          <w:rFonts w:ascii="Times New Roman" w:hAnsi="Times New Roman" w:eastAsia="黑体"/>
          <w:b/>
          <w:i w:val="0"/>
          <w:color w:val="000000"/>
          <w:sz w:val="21"/>
        </w:rPr>
        <w:t>表7-4　危险源辨识与风险分级管控清单</w:t>
      </w:r>
    </w:p>
    <w:tbl>
      <w:tblPr>
        <w:tblStyle w:val="TableGrid"/>
        <w:tblW w:type="auto" w:w="0"/>
        <w:jc w:val="center"/>
        <w:tblLayout w:type="fixed"/>
        <w:tblLook w:firstColumn="1" w:firstRow="1" w:lastColumn="0" w:lastRow="0" w:noHBand="0" w:noVBand="1" w:val="04A0"/>
      </w:tblPr>
      <w:tblGrid>
        <w:gridCol w:w="825"/>
        <w:gridCol w:w="825"/>
        <w:gridCol w:w="825"/>
        <w:gridCol w:w="825"/>
        <w:gridCol w:w="825"/>
        <w:gridCol w:w="825"/>
        <w:gridCol w:w="825"/>
        <w:gridCol w:w="825"/>
        <w:gridCol w:w="825"/>
        <w:gridCol w:w="825"/>
        <w:gridCol w:w="825"/>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风险点/部位</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危险源/危害</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可能事故</w:t>
            </w:r>
          </w:p>
        </w:tc>
        <w:tc>
          <w:tcPr>
            <w:tcW w:type="dxa" w:w="34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L</w:t>
            </w:r>
          </w:p>
        </w:tc>
        <w:tc>
          <w:tcPr>
            <w:tcW w:type="dxa" w:w="34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S</w:t>
            </w:r>
          </w:p>
        </w:tc>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R</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管控层级</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管控措施</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（示例）基坑北侧</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无临边防护、超挖</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坍塌/高坠</w:t>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w:t>
            </w:r>
          </w:p>
        </w:tc>
        <w:tc>
          <w:tcPr>
            <w:tcW w:type="dxa" w:w="51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公司级</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立即停工、补支护、监测</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88" w:name="_LarkToc00088"/>
      <w:r>
        <w:t>附件7-5　危大工程专项方案编审与专家论证流程表</w:t>
      </w:r>
      <w:bookmarkEnd w:id="88"/>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【用途】按流程逐项打勾，关键节点未完成不得进入下一环节。与附件6-4危大清单配套使用。</w:t>
      </w:r>
    </w:p>
    <w:p>
      <w:pPr>
        <w:keepNext/>
        <w:spacing w:before="80" w:after="40" w:line="288" w:lineRule="auto"/>
        <w:ind w:firstLine="0"/>
        <w:jc w:val="center"/>
      </w:pPr>
      <w:r>
        <w:rPr>
          <w:rFonts w:ascii="Times New Roman" w:hAnsi="Times New Roman" w:eastAsia="黑体"/>
          <w:b/>
          <w:i w:val="0"/>
          <w:color w:val="000000"/>
          <w:sz w:val="21"/>
        </w:rPr>
        <w:t>表7-5　危大工程管控流程核查表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环节</w:t>
            </w:r>
          </w:p>
        </w:tc>
        <w:tc>
          <w:tcPr>
            <w:tcW w:type="dxa" w:w="30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工作内容与要求</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完成情况</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日期/签字</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辨识</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列入危大工程清单（含超规模辨识）</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编制</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专项方案编制，有计算书和详图</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技术人员</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审核签字</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施工单位技术负责人审核签字、盖公章</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监理审查</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总监理工程师审查签字、盖执业印章</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总监</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专家论证</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超规模危大组织专家论证，专家≥5名</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□完成□不涉及</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修改完善</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按论证意见修改并重新履行审批</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编制人</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□完成□不涉及</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安全交底</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向现场管理人员和作业人员交底</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现场监督</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施工单位专人现场监督</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专职安全员</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验收</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关键节点验收合格签字</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技术/安全/监理</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监测</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按方案监测、超预警处置</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测量/监测</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依据：《危险性较大的分部分项工程安全管理规定》（住建部令第37号，第47号令修订）。</w:t>
      </w:r>
    </w:p>
    <w:p>
      <w:pPr>
        <w:pStyle w:val="Heading3"/>
        <w:pageBreakBefore/>
        <w:spacing w:before="120"/>
      </w:pPr>
      <w:bookmarkStart w:id="89" w:name="_LarkToc00089"/>
      <w:r>
        <w:t>附件7-6　安全隐患排查治理台账（五定闭环）</w:t>
      </w:r>
      <w:bookmarkEnd w:id="89"/>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【用途】所有检查发现的隐患统一登记，按五定原则整改，复查合格后销号；重大隐患停工整改。</w:t>
      </w:r>
    </w:p>
    <w:p>
      <w:pPr>
        <w:keepNext/>
        <w:spacing w:before="80" w:after="40" w:line="288" w:lineRule="auto"/>
        <w:ind w:firstLine="0"/>
        <w:jc w:val="center"/>
      </w:pPr>
      <w:r>
        <w:rPr>
          <w:rFonts w:ascii="Times New Roman" w:hAnsi="Times New Roman" w:eastAsia="黑体"/>
          <w:b/>
          <w:i w:val="0"/>
          <w:color w:val="000000"/>
          <w:sz w:val="21"/>
        </w:rPr>
        <w:t>表7-6　安全隐患排查治理台账</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检查日期</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部位/隐患描述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隐患级别</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整改资金</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整改期限</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复查人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销号日期</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90" w:name="_LarkToc00090"/>
      <w:r>
        <w:t>附件7-7　施工现场安全检查表（对照各专项）</w:t>
      </w:r>
      <w:bookmarkEnd w:id="90"/>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【用途】用于日常巡查、专项检查，逐项打勾，发现问题转入附件7-6台账。各专项具体标准以现行规范为准。</w:t>
      </w:r>
    </w:p>
    <w:p>
      <w:pPr>
        <w:keepNext/>
        <w:spacing w:before="80" w:after="40" w:line="288" w:lineRule="auto"/>
        <w:ind w:firstLine="0"/>
        <w:jc w:val="center"/>
      </w:pPr>
      <w:r>
        <w:rPr>
          <w:rFonts w:ascii="Times New Roman" w:hAnsi="Times New Roman" w:eastAsia="黑体"/>
          <w:b/>
          <w:i w:val="0"/>
          <w:color w:val="000000"/>
          <w:sz w:val="21"/>
        </w:rPr>
        <w:t>表7-7　施工现场安全检查表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专项</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检查要点</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专项</w:t>
            </w:r>
          </w:p>
        </w:tc>
        <w:tc>
          <w:tcPr>
            <w:tcW w:type="dxa" w:w="243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检查要点</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基坑</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支护、降排水、监测、临边防护、堆载、上下通道</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临电</w:t>
            </w:r>
          </w:p>
        </w:tc>
        <w:tc>
          <w:tcPr>
            <w:tcW w:type="dxa" w:w="243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三级配电、两级保护、一机一闸一漏一箱、TN-S</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脚手架</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基础、立杆、连墙件、扫地杆、剪刀撑、脚手板、验收</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高处作业</w:t>
            </w:r>
          </w:p>
        </w:tc>
        <w:tc>
          <w:tcPr>
            <w:tcW w:type="dxa" w:w="243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三宝、四口、五临边、安全带、防护棚</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模板支撑</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方案、材料、搭设、验收、浇筑顺序、拆除</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起重吊装</w:t>
            </w:r>
          </w:p>
        </w:tc>
        <w:tc>
          <w:tcPr>
            <w:tcW w:type="dxa" w:w="243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限位、保险、吊索具、指挥、十不吊、持证</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塔吊</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基础、附着、检测、限位、群塔防碰撞、验收</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施工升降机</w:t>
            </w:r>
          </w:p>
        </w:tc>
        <w:tc>
          <w:tcPr>
            <w:tcW w:type="dxa" w:w="243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检测、防坠器、限载、联锁门、卸料平台</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消防</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动火审批、看火人、灭火器、消防水源、易燃物</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有限空间</w:t>
            </w:r>
          </w:p>
        </w:tc>
        <w:tc>
          <w:tcPr>
            <w:tcW w:type="dxa" w:w="243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通风、检测、监护、审批、严禁盲目施救</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三宝四口</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安全帽、安全带、安全网、楼梯口电梯井口等</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机械安全</w:t>
            </w:r>
          </w:p>
        </w:tc>
        <w:tc>
          <w:tcPr>
            <w:tcW w:type="dxa" w:w="243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防护装置、操作规程、维保、持证</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文明施工</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围挡、覆盖、硬化、冲洗、密闭、标牌</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生活区</w:t>
            </w:r>
          </w:p>
        </w:tc>
        <w:tc>
          <w:tcPr>
            <w:tcW w:type="dxa" w:w="243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消防、用电、食品卫生、疏散</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□合□否</w:t>
            </w:r>
          </w:p>
        </w:tc>
      </w:tr>
    </w:tbl>
    <w:p>
      <w:pPr>
        <w:spacing w:before="20" w:after="80" w:line="288" w:lineRule="auto"/>
        <w:ind w:firstLine="0"/>
        <w:jc w:val="left"/>
      </w:pPr>
      <w:r>
        <w:rPr>
          <w:rFonts w:ascii="Times New Roman" w:hAnsi="Times New Roman" w:eastAsia="宋体"/>
          <w:b w:val="0"/>
          <w:i w:val="0"/>
          <w:color w:val="404040"/>
          <w:sz w:val="18"/>
        </w:rPr>
        <w:t>依据：《建筑施工安全检查标准》JGJ 59-2011、《建筑施工高处作业安全技术规范》JGJ 80-2016、《施工现场临时用电安全技术规范》JGJ 46-2005、《建筑施工扣件式钢管脚手架安全技术规范》JGJ 130-2011、《建筑深基坑工程施工安全技术规范》JGJ 311-2013等；本表为速查，详细评分以各规范及检查表为准。</w:t>
      </w:r>
    </w:p>
    <w:p>
      <w:pPr>
        <w:pStyle w:val="Heading3"/>
        <w:pageBreakBefore/>
        <w:spacing w:before="120"/>
      </w:pPr>
      <w:bookmarkStart w:id="91" w:name="_LarkToc00091"/>
      <w:r>
        <w:t>附件7-8　安全教育培训与安全技术交底记录表</w:t>
      </w:r>
      <w:bookmarkEnd w:id="91"/>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【用途】落实三级安全教育（公司、项目、班组）和分部分项、班前交底，未教育不得上岗，特种作业人员持证上岗。</w:t>
      </w:r>
    </w:p>
    <w:p>
      <w:pPr>
        <w:keepNext/>
        <w:spacing w:before="80" w:after="40" w:line="288" w:lineRule="auto"/>
        <w:ind w:firstLine="0"/>
        <w:jc w:val="center"/>
      </w:pPr>
      <w:r>
        <w:rPr>
          <w:rFonts w:ascii="Times New Roman" w:hAnsi="Times New Roman" w:eastAsia="黑体"/>
          <w:b/>
          <w:i w:val="0"/>
          <w:color w:val="000000"/>
          <w:sz w:val="21"/>
        </w:rPr>
        <w:t>表7-8-1　三级安全教育记录</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姓名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工种/班组</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公司级（日期/教育人）</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项目级（日期/教育人）</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班组级（日期/教育人）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考核成绩</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本人签字</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表7-8-2　安全技术交底记录</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交底部位/工序</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交底内容要点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交底人</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被交底班组</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被交底人签字</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92" w:name="_LarkToc00092"/>
      <w:r>
        <w:t>附件7-9　特种设备（起重机械）安拆、检测与使用登记台账</w:t>
      </w:r>
      <w:bookmarkEnd w:id="92"/>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【用途】塔吊、施工升降机等特种设备安拆由有资质单位进行，经检测、验收、登记后使用。</w:t>
      </w:r>
    </w:p>
    <w:p>
      <w:pPr>
        <w:keepNext/>
        <w:spacing w:before="80" w:after="40" w:line="288" w:lineRule="auto"/>
        <w:ind w:firstLine="0"/>
        <w:jc w:val="center"/>
      </w:pPr>
      <w:r>
        <w:rPr>
          <w:rFonts w:ascii="Times New Roman" w:hAnsi="Times New Roman" w:eastAsia="黑体"/>
          <w:b/>
          <w:i w:val="0"/>
          <w:color w:val="000000"/>
          <w:sz w:val="21"/>
        </w:rPr>
        <w:t>表7-9　特种设备管理台账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设备名称/编号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产权/租赁</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安拆单位资质</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安装日期</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检测报告</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使用登记</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操作人员持证</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□符合</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□已登记</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□持证</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93" w:name="_LarkToc00093"/>
      <w:r>
        <w:t>附件7-10　应急救援预案、物资与演练记录表</w:t>
      </w:r>
      <w:bookmarkEnd w:id="93"/>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【用途】编制预案、储备物资、定期演练并评估改进；事故按1小时报告程序上报。</w:t>
      </w:r>
    </w:p>
    <w:p>
      <w:pPr>
        <w:keepNext/>
        <w:spacing w:before="80" w:after="40" w:line="288" w:lineRule="auto"/>
        <w:ind w:firstLine="0"/>
        <w:jc w:val="center"/>
      </w:pPr>
      <w:r>
        <w:rPr>
          <w:rFonts w:ascii="Times New Roman" w:hAnsi="Times New Roman" w:eastAsia="黑体"/>
          <w:b/>
          <w:i w:val="0"/>
          <w:color w:val="000000"/>
          <w:sz w:val="21"/>
        </w:rPr>
        <w:t>表7-10-1　应急物资配备清单</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物资名称</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存放地点</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检查情况</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keepNext/>
        <w:spacing w:before="80" w:after="40" w:line="288" w:lineRule="auto"/>
        <w:ind w:firstLine="0"/>
        <w:jc w:val="center"/>
      </w:pPr>
      <w:r>
        <w:rPr>
          <w:rFonts w:ascii="Times New Roman" w:hAnsi="Times New Roman" w:eastAsia="黑体"/>
          <w:b/>
          <w:i w:val="0"/>
          <w:color w:val="000000"/>
          <w:sz w:val="21"/>
        </w:rPr>
        <w:t>表7-10-2　应急演练记录表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演练科目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演练时间</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参加人数</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演练过程简述</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存在问题</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改进措施</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评估人</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表7-10-3　事故等级与报告速查（493号令）</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死亡</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重伤</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直接经济损失</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报告要求</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特别重大</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≥30人</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≥100人</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≥1亿元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逐级上报至国务院</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重大</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10—29人</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50—99人</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5000万—1亿元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逐级上报至国务院</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较大</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3—9人</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10—49人</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1000万—5000万元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逐级上报至省级</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一般</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3人以下</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10人以下</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1000万元以下</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上报至设区的市级</w:t>
            </w:r>
          </w:p>
        </w:tc>
      </w:tr>
    </w:tbl>
    <w:p>
      <w:pPr>
        <w:spacing w:before="20" w:after="80" w:line="288" w:lineRule="auto"/>
        <w:ind w:firstLine="0"/>
        <w:jc w:val="left"/>
      </w:pPr>
      <w:r>
        <w:rPr>
          <w:rFonts w:ascii="Times New Roman" w:hAnsi="Times New Roman" w:eastAsia="宋体"/>
          <w:b w:val="0"/>
          <w:i w:val="0"/>
          <w:color w:val="404040"/>
          <w:sz w:val="18"/>
        </w:rPr>
        <w:t>依据：《生产安全事故报告和调查处理条例》（国务院令第493号）第三条、第九条、第十一条；现场人员立即报告，单位负责人1小时内报告，逐级上报每级不超过2小时。</w:t>
      </w:r>
    </w:p>
    <w:p>
      <w:pPr>
        <w:pStyle w:val="Heading3"/>
        <w:pageBreakBefore/>
        <w:spacing w:before="120"/>
      </w:pPr>
      <w:bookmarkStart w:id="94" w:name="_LarkToc00094"/>
      <w:r>
        <w:t>附件7-11　安全生产费用提取与使用台账</w:t>
      </w:r>
      <w:bookmarkEnd w:id="94"/>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【用途】房建工程按建安造价3%月末计提，专项用于安全防护、隐患整改、教育培训、应急等，专款专用，凭证齐全，不得挤占挪用。</w:t>
      </w:r>
    </w:p>
    <w:p>
      <w:pPr>
        <w:keepNext/>
        <w:spacing w:before="80" w:after="40" w:line="288" w:lineRule="auto"/>
        <w:ind w:firstLine="0"/>
        <w:jc w:val="center"/>
      </w:pPr>
      <w:r>
        <w:rPr>
          <w:rFonts w:ascii="Times New Roman" w:hAnsi="Times New Roman" w:eastAsia="黑体"/>
          <w:b/>
          <w:i w:val="0"/>
          <w:color w:val="000000"/>
          <w:sz w:val="21"/>
        </w:rPr>
        <w:t>表7-11-1　安全费用计提表（金额单位：元）</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月份</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本月建安造价（完成）</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计提比例</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本月应计提</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累计计提</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计提人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审核</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（示例）2026-03</w:t>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10,000,000.00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300,000.00</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300,000.00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表7-11-2　安全费用使用明细台账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用途类别</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具体内容</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凭证号</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经办人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审批人</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□防护设施□隐患整改□教育□应急□检测</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企业安全生产费用提取和使用管理办法》（财资〔2022〕136号）第十七条：房屋建筑、铁路、城市轨道交通工程按3%计提；矿山3.5%；水利水电、电力2.5%；冶炼、机电安装、化工石油、通信2%；市政公用、港口航道、公路1.5%。金额保留两位小数，具体以项目工程类别和现行规定为准。</w:t>
      </w:r>
    </w:p>
    <w:p>
      <w:pPr>
        <w:pStyle w:val="Heading3"/>
        <w:pageBreakBefore/>
        <w:spacing w:before="120"/>
      </w:pPr>
      <w:bookmarkStart w:id="95" w:name="_LarkToc00095"/>
      <w:r>
        <w:t>附件7-12　质量策划与质量责任分解表</w:t>
      </w:r>
      <w:bookmarkEnd w:id="95"/>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【用途】明确质量目标、创优计划、质量责任和控制要点，与目标责任书一致。</w:t>
      </w:r>
    </w:p>
    <w:p>
      <w:pPr>
        <w:keepNext/>
        <w:spacing w:before="80" w:after="40" w:line="288" w:lineRule="auto"/>
        <w:ind w:firstLine="0"/>
        <w:jc w:val="center"/>
      </w:pPr>
      <w:r>
        <w:rPr>
          <w:rFonts w:ascii="Times New Roman" w:hAnsi="Times New Roman" w:eastAsia="黑体"/>
          <w:b/>
          <w:i w:val="0"/>
          <w:color w:val="000000"/>
          <w:sz w:val="21"/>
        </w:rPr>
        <w:t>表7-12　质量目标与责任分解表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分部/关键工序</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质量目标/标准</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控制要点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验收方式</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质量记录</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地基与基础</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桩基、防水、回填、沉降</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隐蔽验收</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主体结构</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钢筋、模板、混凝土、实体检测</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检验批/分项</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砌体</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拉结筋、灰缝、构造柱</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检验批</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装饰装修</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空鼓、开裂、平整度、渗漏</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样板/检验批</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屋面/防水</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防水层、节点、蓄水试验</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隐蔽/蓄水</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机电安装</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管线、设备、试压、调试</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试验/调试</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96" w:name="_LarkToc00096"/>
      <w:r>
        <w:t>附件7-13　检验批、分项、分部、单位工程验收记录汇总表</w:t>
      </w:r>
      <w:bookmarkEnd w:id="96"/>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【用途】按GB 50300逐级验收、逐级登记，未验收合格不得进入下道工序，隐蔽工程必须留存影像。</w:t>
      </w:r>
    </w:p>
    <w:p>
      <w:pPr>
        <w:keepNext/>
        <w:spacing w:before="80" w:after="40" w:line="288" w:lineRule="auto"/>
        <w:ind w:firstLine="0"/>
        <w:jc w:val="center"/>
      </w:pPr>
      <w:r>
        <w:rPr>
          <w:rFonts w:ascii="Times New Roman" w:hAnsi="Times New Roman" w:eastAsia="黑体"/>
          <w:b/>
          <w:i w:val="0"/>
          <w:color w:val="000000"/>
          <w:sz w:val="21"/>
        </w:rPr>
        <w:t>表7-13　工程质量验收汇总表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分部/分项/检验批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验收级别</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施工自检</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监理验收</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验收结论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资料编号</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□检验批□分项□分部□单位</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□通过□整改</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依据：《建筑工程施工质量验收统一标准》GB 50300-2013及各专业验收规范。</w:t>
      </w:r>
    </w:p>
    <w:p>
      <w:pPr>
        <w:pStyle w:val="Heading3"/>
        <w:pageBreakBefore/>
        <w:spacing w:before="120"/>
      </w:pPr>
      <w:bookmarkStart w:id="97" w:name="_LarkToc00097"/>
      <w:r>
        <w:t>附件7-14　样板引路与首件验收记录表</w:t>
      </w:r>
      <w:bookmarkEnd w:id="97"/>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【用途】关键工序、质量通病部位先做样板，三方验收合格并交底后再大面积施工。</w:t>
      </w:r>
    </w:p>
    <w:p>
      <w:pPr>
        <w:keepNext/>
        <w:spacing w:before="80" w:after="40" w:line="288" w:lineRule="auto"/>
        <w:ind w:firstLine="0"/>
        <w:jc w:val="center"/>
      </w:pPr>
      <w:r>
        <w:rPr>
          <w:rFonts w:ascii="Times New Roman" w:hAnsi="Times New Roman" w:eastAsia="黑体"/>
          <w:b/>
          <w:i w:val="0"/>
          <w:color w:val="000000"/>
          <w:sz w:val="21"/>
        </w:rPr>
        <w:t>表7-14　样板/首件验收记录</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样板部位/工序</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样板做法与标准</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施工班组</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施工单位自检</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监理验收</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建设单位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是否放行</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□确认</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98" w:name="_LarkToc00098"/>
      <w:r>
        <w:t>附件7-15　质量通病预防与整改台账</w:t>
      </w:r>
      <w:bookmarkEnd w:id="98"/>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【用途】针对渗漏、开裂、空鼓、蜂窝麻面、尺寸偏差等通病，明确预防措施和整改责任。</w:t>
      </w:r>
    </w:p>
    <w:p>
      <w:pPr>
        <w:keepNext/>
        <w:spacing w:before="80" w:after="40" w:line="288" w:lineRule="auto"/>
        <w:ind w:firstLine="0"/>
        <w:jc w:val="center"/>
      </w:pPr>
      <w:r>
        <w:rPr>
          <w:rFonts w:ascii="Times New Roman" w:hAnsi="Times New Roman" w:eastAsia="黑体"/>
          <w:b/>
          <w:i w:val="0"/>
          <w:color w:val="000000"/>
          <w:sz w:val="21"/>
        </w:rPr>
        <w:t>表7-15　质量通病预防整改台账</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通病类型</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部位</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预防措施</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检查/发现情况</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复查结果</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渗漏</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屋面/厨卫/外墙</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开裂</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墙体/楼板</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空鼓</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抹灰/面砖</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蜂窝麻面</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混凝土</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尺寸偏差</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结构/装修</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99" w:name="_LarkToc00099"/>
      <w:r>
        <w:t>附件7-16　绿色文明施工（扬尘、噪声、渣土）检查表</w:t>
      </w:r>
      <w:bookmarkEnd w:id="99"/>
    </w:p>
    <w:p>
      <w:pPr>
        <w:spacing w:before="0" w:after="40" w:line="312" w:lineRule="auto"/>
        <w:ind w:firstLine="0"/>
        <w:jc w:val="left"/>
      </w:pPr>
      <w:r>
        <w:rPr>
          <w:rFonts w:ascii="Times New Roman" w:hAnsi="Times New Roman" w:eastAsia="宋体"/>
          <w:b w:val="0"/>
          <w:i w:val="0"/>
          <w:color w:val="595959"/>
          <w:sz w:val="18"/>
        </w:rPr>
        <w:t>【归属】第7章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【用途】日常检查扬尘“六个百分百”和噪声排放，夜间施工须许可并公告。</w:t>
      </w:r>
    </w:p>
    <w:p>
      <w:pPr>
        <w:keepNext/>
        <w:spacing w:before="80" w:after="40" w:line="288" w:lineRule="auto"/>
        <w:ind w:firstLine="0"/>
        <w:jc w:val="center"/>
      </w:pPr>
      <w:r>
        <w:rPr>
          <w:rFonts w:ascii="Times New Roman" w:hAnsi="Times New Roman" w:eastAsia="黑体"/>
          <w:b/>
          <w:i w:val="0"/>
          <w:color w:val="000000"/>
          <w:sz w:val="21"/>
        </w:rPr>
        <w:t>表7-16-1　扬尘污染防治“六个百分百”检查表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检查项</w:t>
            </w:r>
          </w:p>
        </w:tc>
        <w:tc>
          <w:tcPr>
            <w:tcW w:type="dxa" w:w="294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标准</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问题/整改</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工地周边围挡</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100%连续硬质围挡</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物料堆放覆盖</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100%覆盖（密目网/防尘布）</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出入车辆冲洗</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100%冲洗，设冲洗设施</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施工现场地面硬化</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100%硬化主要道路和作业区</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拆迁土方湿法作业</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100%湿法作业（喷淋/洒水）</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渣土车辆密闭运输</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100%密闭，不带泥上路</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keepNext/>
        <w:spacing w:before="80" w:after="40" w:line="288" w:lineRule="auto"/>
        <w:ind w:firstLine="0"/>
        <w:jc w:val="center"/>
      </w:pPr>
      <w:r>
        <w:rPr>
          <w:rFonts w:ascii="Times New Roman" w:hAnsi="Times New Roman" w:eastAsia="黑体"/>
          <w:b/>
          <w:i w:val="0"/>
          <w:color w:val="000000"/>
          <w:sz w:val="21"/>
        </w:rPr>
        <w:t>表7-16-2　施工噪声排放检查记录</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监测日期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时段</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测点位置</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等效声级dB(A)</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限值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是否达标</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夜间施工许可</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□昼□夜</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昼70/夜55</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□有□无</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依据：《建筑施工噪声排放标准》GB 12523—2025（2025-10-31发布、2026-01-01实施，代替GB 12523-2011）：场界昼间70dB(A)、夜间55dB(A)，夜间最大声级超限不高于15dB(A)；夜间为22:00至次日6:00。扬尘“六个百分百”为住建系统扬尘防治要求；《建筑工程绿色施工规范》GB/T 50905-2014。</w:t>
      </w:r>
    </w:p>
    <w:p>
      <w:pPr>
        <w:pStyle w:val="Heading2"/>
        <w:pageBreakBefore/>
      </w:pPr>
      <w:bookmarkStart w:id="10" w:name="_LarkToc00010"/>
      <w:r>
        <w:t>第8章　施工过程（下）：成本、变更索赔、资金、税务与合规</w:t>
      </w:r>
      <w:bookmarkEnd w:id="10"/>
    </w:p>
    <w:p>
      <w:pPr>
        <w:pStyle w:val="sec_head"/>
      </w:pPr>
      <w:r>
        <w:t>8.1　利润是过程里一分一厘抠出来的</w:t>
      </w:r>
    </w:p>
    <w:p>
      <w:pPr>
        <w:spacing w:before="0" w:after="0" w:line="360" w:lineRule="auto"/>
        <w:ind w:firstLine="480"/>
        <w:jc w:val="both"/>
      </w:pPr>
      <w:r>
        <w:rPr>
          <w:rFonts w:ascii="Times New Roman" w:hAnsi="Times New Roman" w:eastAsia="宋体"/>
          <w:b w:val="0"/>
          <w:i w:val="0"/>
          <w:color w:val="000000"/>
          <w:sz w:val="24"/>
        </w:rPr>
        <w:t>施工企业的利润，三分在报价，七分在过程。中标后，项目部要把目标成本逐级分解到工序、岗位、班组，建立“目标成本—责任成本—实际成本”的对比机制，每月召开成本分析会，做到“干前算、干中控、干后算”。成本管理的主要矛盾，是“跑冒滴漏”：材料浪费、窝工返工、分包扯皮、机械闲置、签证不及时。</w:t>
      </w:r>
    </w:p>
    <w:p>
      <w:pPr>
        <w:pStyle w:val="sec_head"/>
      </w:pPr>
      <w:r>
        <w:t>8.2　材料、机械、分包三大成本控制</w:t>
      </w:r>
    </w:p>
    <w:p>
      <w:pPr>
        <w:spacing w:before="0" w:after="0" w:line="360" w:lineRule="auto"/>
        <w:ind w:firstLine="480"/>
        <w:jc w:val="both"/>
      </w:pPr>
      <w:r>
        <w:rPr>
          <w:rFonts w:ascii="Times New Roman" w:hAnsi="Times New Roman" w:eastAsia="宋体"/>
          <w:b w:val="0"/>
          <w:i w:val="0"/>
          <w:color w:val="000000"/>
          <w:sz w:val="24"/>
        </w:rPr>
        <w:t>材料通常占工程成本的大头，要实行限额领料、分批采购、进场验收、定期盘点、周转材料按次摊销，把好询价、比价、招标、合同、验收、领用、退料七道关；机械要合理配置、避免闲置，租赁设备按台班签证；分包要按合同和实际完成工程量结算，先算账后付款，防止超付、重复付。</w:t>
      </w:r>
    </w:p>
    <w:p>
      <w:pPr>
        <w:pStyle w:val="sec_head"/>
      </w:pPr>
      <w:r>
        <w:t>8.3　变更管理：先批后干、及时确认</w:t>
      </w:r>
    </w:p>
    <w:p>
      <w:pPr>
        <w:spacing w:before="0" w:after="0" w:line="360" w:lineRule="auto"/>
        <w:ind w:firstLine="480"/>
        <w:jc w:val="both"/>
      </w:pPr>
      <w:r>
        <w:rPr>
          <w:rFonts w:ascii="Times New Roman" w:hAnsi="Times New Roman" w:eastAsia="宋体"/>
          <w:b w:val="0"/>
          <w:i w:val="0"/>
          <w:color w:val="000000"/>
          <w:sz w:val="24"/>
        </w:rPr>
        <w:t>工程变更应坚持“先估价、后施工，先批准、后实施”的原则（紧急情况可先处置并及时补办）。变更指示一般由监理人发出，变更应书面确认变更内容、工程量和价格。对发包人原因引起的变更，要及时办理变更估价，不能“先干活、后扯皮”，更不能仅凭口头指令施工。</w:t>
      </w:r>
    </w:p>
    <w:p>
      <w:pPr>
        <w:pStyle w:val="sec_head"/>
      </w:pPr>
      <w:r>
        <w:t>8.4　现场签证：把“多干的活”变成“拿得到的钱”</w:t>
      </w:r>
    </w:p>
    <w:p>
      <w:pPr>
        <w:spacing w:before="0" w:after="0" w:line="360" w:lineRule="auto"/>
        <w:ind w:firstLine="480"/>
        <w:jc w:val="both"/>
      </w:pPr>
      <w:r>
        <w:rPr>
          <w:rFonts w:ascii="Times New Roman" w:hAnsi="Times New Roman" w:eastAsia="宋体"/>
          <w:b w:val="0"/>
          <w:i w:val="0"/>
          <w:color w:val="000000"/>
          <w:sz w:val="24"/>
        </w:rPr>
        <w:t>签证是施工过程中最容易漏、也最值钱的环节。凡发生合同外工程量、停窝工、返工、材料代用、地质条件变化、甲供材延误、图纸错漏等，必须第一时间发函、留影像、办签证。签证要做到“一事一签、随发生随签、签量又签价、责任清晰、原件在手”。签证单要有授权人签字、盖公章，并与现场照片、测量记录、材料单、施工日志相互印证。</w:t>
      </w:r>
    </w:p>
    <w:p>
      <w:pPr>
        <w:pStyle w:val="sec_head"/>
      </w:pPr>
      <w:r>
        <w:t>8.5　索赔：28天时效是生命线</w:t>
      </w:r>
    </w:p>
    <w:p>
      <w:pPr>
        <w:spacing w:before="0" w:after="0" w:line="360" w:lineRule="auto"/>
        <w:ind w:firstLine="480"/>
        <w:jc w:val="both"/>
      </w:pPr>
      <w:r>
        <w:rPr>
          <w:rFonts w:ascii="Times New Roman" w:hAnsi="Times New Roman" w:eastAsia="宋体"/>
          <w:b w:val="0"/>
          <w:i w:val="0"/>
          <w:color w:val="000000"/>
          <w:sz w:val="24"/>
        </w:rPr>
        <w:t>按《建设工程施工合同（示范文本）》GF-2017-0201，承包人应在知道或应当知道索赔事件发生后28天内向监理人递交索赔意向通知书，逾期未发出的，丧失要求追加付款和（或）延长工期的权利；并应在发出意向通知书后28天内正式递交索赔报告。企业必须把索赔时效纳入台账并设到期提醒，宁可多提、不可漏提、更不可逾期。索赔证据要完整：合同、往来函件、会议纪要、施工日志、照片视频、气象、签证、进度记录、财务凭证。</w:t>
      </w:r>
    </w:p>
    <w:p>
      <w:pPr>
        <w:pStyle w:val="sec_head"/>
      </w:pPr>
      <w:r>
        <w:t>8.6　计量与进度款：按月计量、及时申报、跟踪到账</w:t>
      </w:r>
    </w:p>
    <w:p>
      <w:pPr>
        <w:spacing w:before="0" w:after="0" w:line="360" w:lineRule="auto"/>
        <w:ind w:firstLine="480"/>
        <w:jc w:val="both"/>
      </w:pPr>
      <w:r>
        <w:rPr>
          <w:rFonts w:ascii="Times New Roman" w:hAnsi="Times New Roman" w:eastAsia="宋体"/>
          <w:b w:val="0"/>
          <w:i w:val="0"/>
          <w:color w:val="000000"/>
          <w:sz w:val="24"/>
        </w:rPr>
        <w:t>严格按合同约定的计量周期和方式申报已完工程量，监理、发包人应在约定时间内审核确认；进度款、安全文明施工费、预付款扣回要算清。对逾期未审核、未支付的，及时发函催告并主张利息，建立“申报—审核—开票—回款”的全流程台账。</w:t>
      </w:r>
    </w:p>
    <w:p>
      <w:pPr>
        <w:pStyle w:val="sec_head"/>
      </w:pPr>
      <w:r>
        <w:t>8.7　资金与现金流：把现金流当成血液来经营</w:t>
      </w:r>
    </w:p>
    <w:p>
      <w:pPr>
        <w:spacing w:before="0" w:after="0" w:line="360" w:lineRule="auto"/>
        <w:ind w:firstLine="480"/>
        <w:jc w:val="both"/>
      </w:pPr>
      <w:r>
        <w:rPr>
          <w:rFonts w:ascii="Times New Roman" w:hAnsi="Times New Roman" w:eastAsia="宋体"/>
          <w:b w:val="0"/>
          <w:i w:val="0"/>
          <w:color w:val="000000"/>
          <w:sz w:val="24"/>
        </w:rPr>
        <w:t>项目部要按月编制资金收支计划，动态测算现金流，做到“以收定支、收支配比”。支出上优先保农民工工资、保必要的安全投入和关键材料，对分包、供应商付款严格按合同和结算进度；严禁以拖欠工资、材料款的方式维持现金流。一旦发现发包人资金异常、付款持续逾期，应及时预警、收缩垫资、保留证据，必要时行使不安抗辩、停工或解除合同的权利。</w:t>
      </w:r>
    </w:p>
    <w:p>
      <w:pPr>
        <w:pStyle w:val="sec_head"/>
      </w:pPr>
      <w:r>
        <w:t>8.8　农民工工资：专户、实名、代发、保证金，一条不能少</w:t>
      </w:r>
    </w:p>
    <w:p>
      <w:pPr>
        <w:spacing w:before="0" w:after="0" w:line="360" w:lineRule="auto"/>
        <w:ind w:firstLine="480"/>
        <w:jc w:val="both"/>
      </w:pPr>
      <w:r>
        <w:rPr>
          <w:rFonts w:ascii="Times New Roman" w:hAnsi="Times New Roman" w:eastAsia="宋体"/>
          <w:b w:val="0"/>
          <w:i w:val="0"/>
          <w:color w:val="000000"/>
          <w:sz w:val="24"/>
        </w:rPr>
        <w:t>保障农民工工资支付是红线。总承包单位应当开立农民工工资专用账户，实行实名制管理，由总包代发工资；工资保证金按工程施工合同额一定比例存储（原则上不低于1%、不超过3%，存储主体为总承包单位，可以银行保函替代）。未开立专户、未实名、未代发、拖欠工资的，可能被责令停工、罚款，并被限制承接新工程、降低资质乃至吊销资质。</w:t>
      </w:r>
    </w:p>
    <w:p>
      <w:pPr>
        <w:spacing w:before="20" w:after="80" w:line="288" w:lineRule="auto"/>
        <w:ind w:firstLine="0"/>
        <w:jc w:val="left"/>
      </w:pPr>
      <w:r>
        <w:rPr>
          <w:rFonts w:ascii="Times New Roman" w:hAnsi="Times New Roman" w:eastAsia="宋体"/>
          <w:b w:val="0"/>
          <w:i w:val="0"/>
          <w:color w:val="404040"/>
          <w:sz w:val="18"/>
        </w:rPr>
        <w:t>依据：《保障农民工工资支付条例》（国务院令第724号，2020年5月1日施行）第二十六条、第三十一条、第三十三条、第五十五条；《工程建设领域农民工工资保证金规定》（人社部发〔2021〕65号）：工资保证金按合同额原则上不低于1%、不超过3%，总承包单位为唯一存储主体，可用银行保函替代。</w:t>
      </w:r>
    </w:p>
    <w:p>
      <w:pPr>
        <w:pStyle w:val="sec_head"/>
      </w:pPr>
      <w:r>
        <w:t>8.9　税务与发票：应抵尽抵、依法开票、票实一致</w:t>
      </w:r>
    </w:p>
    <w:p>
      <w:pPr>
        <w:spacing w:before="0" w:after="0" w:line="360" w:lineRule="auto"/>
        <w:ind w:firstLine="480"/>
        <w:jc w:val="both"/>
      </w:pPr>
      <w:r>
        <w:rPr>
          <w:rFonts w:ascii="Times New Roman" w:hAnsi="Times New Roman" w:eastAsia="宋体"/>
          <w:b w:val="0"/>
          <w:i w:val="0"/>
          <w:color w:val="000000"/>
          <w:sz w:val="24"/>
        </w:rPr>
        <w:t>增值税要做好进项管理，材料、机械、分包、租赁等应取得合规发票，做到“合同流、发票流、资金流、货物（服务）流”四流一致，防止虚开、接受虚开发票。简易计税与一般计税、分包差额计税、甲供工程、异地项目预缴等应按现行税收政策处理，纳税义务发生时间、开票和收款要匹配。</w:t>
      </w:r>
    </w:p>
    <w:p>
      <w:pPr>
        <w:pStyle w:val="sec_head"/>
      </w:pPr>
      <w:r>
        <w:t>8.10　合规红线：转包、违法分包、挂靠绝不碰</w:t>
      </w:r>
    </w:p>
    <w:p>
      <w:pPr>
        <w:spacing w:before="0" w:after="0" w:line="360" w:lineRule="auto"/>
        <w:ind w:firstLine="480"/>
        <w:jc w:val="both"/>
      </w:pPr>
      <w:r>
        <w:rPr>
          <w:rFonts w:ascii="Times New Roman" w:hAnsi="Times New Roman" w:eastAsia="宋体"/>
          <w:b w:val="0"/>
          <w:i w:val="0"/>
          <w:color w:val="000000"/>
          <w:sz w:val="24"/>
        </w:rPr>
        <w:t>转包、违法分包、挂靠（出借资质）是施工企业的高压线，不仅合同可能无效、面临没收违法所得和罚款，还可能被吊销资质、追究刑事责任。典型表现：承包后不设项目管理机构、不派驻人员、不组织管理（视同转包）；项目负责人、技术负责人、核算负责人、质量、安全管理人员不是本单位人员（视同挂靠）；把主体结构分包、分包给无资质单位、再分包等（违法分包）。要定期对照自查（见附件8-15），确保人员、财务、物资、质量、安全“五统一”由本单位管理。</w:t>
      </w:r>
    </w:p>
    <w:p>
      <w:pPr>
        <w:spacing w:before="20" w:after="80" w:line="288" w:lineRule="auto"/>
        <w:ind w:firstLine="0"/>
        <w:jc w:val="left"/>
      </w:pPr>
      <w:r>
        <w:rPr>
          <w:rFonts w:ascii="Times New Roman" w:hAnsi="Times New Roman" w:eastAsia="宋体"/>
          <w:b w:val="0"/>
          <w:i w:val="0"/>
          <w:color w:val="404040"/>
          <w:sz w:val="18"/>
        </w:rPr>
        <w:t>依据：《中华人民共和国建筑法》（2019年修正）第二十六条、第二十八条；《建设工程质量管理条例》（国务院令第714号）第七十八条；《房屋建筑和市政基础设施工程施工分包管理办法》（住建部令第47号）第十三条、第十四条、第十五条。</w:t>
      </w:r>
    </w:p>
    <w:p>
      <w:pPr>
        <w:pStyle w:val="attach_div"/>
        <w:pageBreakBefore/>
        <w:jc w:val="center"/>
      </w:pPr>
      <w:r>
        <w:t>第8章　章末附件</w:t>
      </w:r>
    </w:p>
    <w:p>
      <w:pPr>
        <w:spacing w:before="0" w:after="0" w:line="360" w:lineRule="auto"/>
        <w:ind w:firstLine="480"/>
        <w:jc w:val="both"/>
      </w:pPr>
      <w:r>
        <w:rPr>
          <w:rFonts w:ascii="Times New Roman" w:hAnsi="Times New Roman" w:eastAsia="宋体"/>
          <w:b w:val="0"/>
          <w:i w:val="0"/>
          <w:color w:val="000000"/>
          <w:sz w:val="24"/>
        </w:rPr>
        <w:t>本页之后为《施工过程（下）：成本、变更索赔、资金、税务与合规》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00" w:name="_LarkToc00100"/>
      <w:r>
        <w:t>附件8-1　项目目标成本与责任成本分解表</w:t>
      </w:r>
      <w:bookmarkEnd w:id="100"/>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【用途】开工后依据合同价、施组、企业定额编制，作为成本控制基准，逐月对比实际成本。</w:t>
      </w:r>
    </w:p>
    <w:p>
      <w:pPr>
        <w:keepNext/>
        <w:spacing w:before="80" w:after="40" w:line="288" w:lineRule="auto"/>
        <w:ind w:firstLine="0"/>
        <w:jc w:val="center"/>
      </w:pPr>
      <w:r>
        <w:rPr>
          <w:rFonts w:ascii="Times New Roman" w:hAnsi="Times New Roman" w:eastAsia="黑体"/>
          <w:b/>
          <w:i w:val="0"/>
          <w:color w:val="000000"/>
          <w:sz w:val="21"/>
        </w:rPr>
        <w:t>表8-1　项目目标成本分解表（金额单位：元）</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成本项目</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合同/预算收入</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目标成本</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责任成本</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责任部门/班组</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控制要点</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人工费</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定额用工、计件、减少窝工</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材料费</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限额领料、比价、损耗</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机械费</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台班、租赁、提高利用</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专业分包</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招标、结算、防超付</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措施费</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施组优化、安全费专款</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管理费</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定编、费用控制</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规费税金</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依法计取</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合计</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01" w:name="_LarkToc00101"/>
      <w:r>
        <w:t>附件8-2　月度成本分析表（量价对比与盈亏分析）</w:t>
      </w:r>
      <w:bookmarkEnd w:id="101"/>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【用途】每月成本分析会使用，分析“三算对比”（合同收入、目标成本、实际成本）及量价偏差。</w:t>
      </w:r>
    </w:p>
    <w:p>
      <w:pPr>
        <w:keepNext/>
        <w:spacing w:before="80" w:after="40" w:line="288" w:lineRule="auto"/>
        <w:ind w:firstLine="0"/>
        <w:jc w:val="center"/>
      </w:pPr>
      <w:r>
        <w:rPr>
          <w:rFonts w:ascii="Times New Roman" w:hAnsi="Times New Roman" w:eastAsia="黑体"/>
          <w:b/>
          <w:i w:val="0"/>
          <w:color w:val="000000"/>
          <w:sz w:val="21"/>
        </w:rPr>
        <w:t>表8-2　月度成本分析表（金额单位：元）</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成本项</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本期收入</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目标成本</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实际成本</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本期盈亏</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偏差原因</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纠偏措施</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人工费</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材料费</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机械费</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分包费</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措施费</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管理费</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合计</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02" w:name="_LarkToc00102"/>
      <w:r>
        <w:t>附件8-3　材料限额领料与盘点控制表</w:t>
      </w:r>
      <w:bookmarkEnd w:id="102"/>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【用途】按施工预算发料，月度盘点，分析超耗原因，周转材料按使用周期摊销。</w:t>
      </w:r>
    </w:p>
    <w:p>
      <w:pPr>
        <w:keepNext/>
        <w:spacing w:before="80" w:after="40" w:line="288" w:lineRule="auto"/>
        <w:ind w:firstLine="0"/>
        <w:jc w:val="center"/>
      </w:pPr>
      <w:r>
        <w:rPr>
          <w:rFonts w:ascii="Times New Roman" w:hAnsi="Times New Roman" w:eastAsia="黑体"/>
          <w:b/>
          <w:i w:val="0"/>
          <w:color w:val="000000"/>
          <w:sz w:val="21"/>
        </w:rPr>
        <w:t>表8-3-1　限额领料与材料耗用表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材料名称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预算用量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实际领用量</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损耗率</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超耗/节约</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原因</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表8-3-2　月度材料盘点表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上月结存</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本月进场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本月领用</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本月结存</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盘点实际</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盘盈/盘亏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103" w:name="_LarkToc00103"/>
      <w:r>
        <w:t>附件8-4　分包结算与用工管理表</w:t>
      </w:r>
      <w:bookmarkEnd w:id="103"/>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【用途】按合同和实际完成工程量结算，先对账、后付款；用工实行实名制和考勤，防止虚报冒领。</w:t>
      </w:r>
    </w:p>
    <w:p>
      <w:pPr>
        <w:keepNext/>
        <w:spacing w:before="80" w:after="40" w:line="288" w:lineRule="auto"/>
        <w:ind w:firstLine="0"/>
        <w:jc w:val="center"/>
      </w:pPr>
      <w:r>
        <w:rPr>
          <w:rFonts w:ascii="Times New Roman" w:hAnsi="Times New Roman" w:eastAsia="黑体"/>
          <w:b/>
          <w:i w:val="0"/>
          <w:color w:val="000000"/>
          <w:sz w:val="21"/>
        </w:rPr>
        <w:t>表8-4　分包结算与付款控制表</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分包单位/班组</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分包内容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本期完成量</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累计完成</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应结算</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已付</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本次拟付</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质保金</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pStyle w:val="Heading3"/>
        <w:pageBreakBefore/>
        <w:spacing w:before="120"/>
      </w:pPr>
      <w:bookmarkStart w:id="104" w:name="_LarkToc00104"/>
      <w:r>
        <w:t>附件8-5　机械费与周转材料费用控制表</w:t>
      </w:r>
      <w:bookmarkEnd w:id="104"/>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【用途】控制机械台班和租赁周期，减少闲置；周转材料按进退场和摊销管理。</w:t>
      </w:r>
    </w:p>
    <w:p>
      <w:pPr>
        <w:keepNext/>
        <w:spacing w:before="80" w:after="40" w:line="288" w:lineRule="auto"/>
        <w:ind w:firstLine="0"/>
        <w:jc w:val="center"/>
      </w:pPr>
      <w:r>
        <w:rPr>
          <w:rFonts w:ascii="Times New Roman" w:hAnsi="Times New Roman" w:eastAsia="黑体"/>
          <w:b/>
          <w:i w:val="0"/>
          <w:color w:val="000000"/>
          <w:sz w:val="21"/>
        </w:rPr>
        <w:t>表8-5　机械/周转材料使用与费用表</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名称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自有/租赁</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实际台班/天数</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费用</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利用/闲置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改进</w:t>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□自□租</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105" w:name="_LarkToc00105"/>
      <w:r>
        <w:t>附件8-6　工程变更管理流程与变更估价表</w:t>
      </w:r>
      <w:bookmarkEnd w:id="105"/>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【用途】坚持先批后干、先估价后实施，登记变更指令、工程量和价格确认情况。</w:t>
      </w:r>
    </w:p>
    <w:p>
      <w:pPr>
        <w:keepNext/>
        <w:spacing w:before="80" w:after="40" w:line="288" w:lineRule="auto"/>
        <w:ind w:firstLine="0"/>
        <w:jc w:val="center"/>
      </w:pPr>
      <w:r>
        <w:rPr>
          <w:rFonts w:ascii="Times New Roman" w:hAnsi="Times New Roman" w:eastAsia="黑体"/>
          <w:b/>
          <w:i w:val="0"/>
          <w:color w:val="000000"/>
          <w:sz w:val="21"/>
        </w:rPr>
        <w:t>表8-6　工程变更登记与估价表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变更指令/日期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变更内容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增减工程量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估价方式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变更价款</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确认情况</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实施状态</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（示例）BG-01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监理变更单/2026-04-10</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基础加深</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C30砼+180m³</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按合同单价</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按实</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□已确认</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□已实施</w:t>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106" w:name="_LarkToc00106"/>
      <w:r>
        <w:t>附件8-7　现场签证单（标准模板）</w:t>
      </w:r>
      <w:bookmarkEnd w:id="106"/>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【用途】一事一签，随发生随签，签量签价；须附现场照片、测量/计算依据、施工日志，由有权人员签字盖章。</w:t>
      </w:r>
    </w:p>
    <w:p>
      <w:pPr>
        <w:keepNext/>
        <w:spacing w:before="80" w:after="40" w:line="288" w:lineRule="auto"/>
        <w:ind w:firstLine="0"/>
        <w:jc w:val="center"/>
      </w:pPr>
      <w:r>
        <w:rPr>
          <w:rFonts w:ascii="Times New Roman" w:hAnsi="Times New Roman" w:eastAsia="黑体"/>
          <w:b/>
          <w:i w:val="0"/>
          <w:color w:val="000000"/>
          <w:sz w:val="21"/>
        </w:rPr>
        <w:t>表8-7　现场签证单</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236"/>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工程名称/签证编号</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签证事由</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□合同外工程量 □停窝工 □返工 □材料代用 □地质变化 □甲供材延误 □其他：</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签证事项及发生时间</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签证内容（工程量、做法、人工机械台班）</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签证价款/费用计算</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附件清单</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□现场照片 □测量记录 □施工日志 □材料单 □气象 □会议纪要，共__页</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责任归属</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□发包人原因 □设计原因 □不可抗力 □其他：</w:t>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施工单位/项目负责人/日期</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监理工程师/总监/日期</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建设单位代表/盖章日期</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pStyle w:val="Heading3"/>
        <w:pageBreakBefore/>
        <w:spacing w:before="120"/>
      </w:pPr>
      <w:bookmarkStart w:id="107" w:name="_LarkToc00107"/>
      <w:r>
        <w:t>附件8-8　工程联系单（工作联系单）收发台账</w:t>
      </w:r>
      <w:bookmarkEnd w:id="107"/>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【用途】所有往来函件统一编号登记，重要函件必须留存送达签收或可追溯的发送记录。</w:t>
      </w:r>
    </w:p>
    <w:p>
      <w:pPr>
        <w:keepNext/>
        <w:spacing w:before="80" w:after="40" w:line="288" w:lineRule="auto"/>
        <w:ind w:firstLine="0"/>
        <w:jc w:val="center"/>
      </w:pPr>
      <w:r>
        <w:rPr>
          <w:rFonts w:ascii="Times New Roman" w:hAnsi="Times New Roman" w:eastAsia="黑体"/>
          <w:b/>
          <w:i w:val="0"/>
          <w:color w:val="000000"/>
          <w:sz w:val="21"/>
        </w:rPr>
        <w:t>表8-8　工程联系单收发台账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事由/标题</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发往单位</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送达方式</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签收/送达证据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对方回复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处理结果</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108" w:name="_LarkToc00108"/>
      <w:r>
        <w:t>附件8-9　索赔意向通知书与索赔报告模板</w:t>
      </w:r>
      <w:bookmarkEnd w:id="108"/>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【用途】在知道或应当知道索赔事件后28天内发出索赔意向通知书，逾期失权；意向后28天内递交索赔报告。</w:t>
      </w:r>
    </w:p>
    <w:p>
      <w:pPr>
        <w:keepNext/>
        <w:spacing w:before="80" w:after="40" w:line="288" w:lineRule="auto"/>
        <w:ind w:firstLine="0"/>
        <w:jc w:val="center"/>
      </w:pPr>
      <w:r>
        <w:rPr>
          <w:rFonts w:ascii="Times New Roman" w:hAnsi="Times New Roman" w:eastAsia="黑体"/>
          <w:b/>
          <w:i w:val="0"/>
          <w:color w:val="000000"/>
          <w:sz w:val="21"/>
        </w:rPr>
        <w:t>表8-9-1　索赔意向通知书（模板）</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236"/>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致（监理人/发包人）</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工程名称</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索赔事件及发生时间</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（简述事件、地点、时间、依据合同条款）</w:t>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索赔初步意向</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□追加付款（暂估金额：　　）　□延长工期（暂估：　　天）　□两者兼有</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保留权利声明</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我方保留就该事件进一步提交索赔报告及补充证据的权利。</w:t>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承包人（盖章）/项目经理/日期</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keepNext/>
        <w:spacing w:before="80" w:after="40" w:line="288" w:lineRule="auto"/>
        <w:ind w:firstLine="0"/>
        <w:jc w:val="center"/>
      </w:pPr>
      <w:r>
        <w:rPr>
          <w:rFonts w:ascii="Times New Roman" w:hAnsi="Times New Roman" w:eastAsia="黑体"/>
          <w:b/>
          <w:i w:val="0"/>
          <w:color w:val="000000"/>
          <w:sz w:val="21"/>
        </w:rPr>
        <w:t>表8-9-2　索赔报告（模板）</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组成</w:t>
            </w:r>
          </w:p>
        </w:tc>
        <w:tc>
          <w:tcPr>
            <w:tcW w:type="dxa" w:w="7143"/>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内容要求</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一、事件经过</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时间、地点、起因、过程，引用合同条款</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二、索赔依据</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合同、法律、规范、变更指令、往来函件、会议纪要</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三、工期索赔</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影响关键线路分析、顺延天数及计算</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四、费用索赔</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人工、材料、机械、管理、措施、利息等逐项计算</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五、证据清单</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照片、日志、气象、签证、进度、财务凭证，编号附后</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六、索赔要求</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明确追加付款金额、延长工期天数</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七、签署</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承包人盖章、项目经理签字、日期</w:t>
            </w:r>
          </w:p>
        </w:tc>
      </w:tr>
    </w:tbl>
    <w:p>
      <w:pPr>
        <w:spacing w:before="20" w:after="80" w:line="288" w:lineRule="auto"/>
        <w:ind w:firstLine="0"/>
        <w:jc w:val="left"/>
      </w:pPr>
      <w:r>
        <w:rPr>
          <w:rFonts w:ascii="Times New Roman" w:hAnsi="Times New Roman" w:eastAsia="宋体"/>
          <w:b w:val="0"/>
          <w:i w:val="0"/>
          <w:color w:val="404040"/>
          <w:sz w:val="18"/>
        </w:rPr>
        <w:t>依据：《建设工程施工合同（示范文本）》GF-2017-0201：索赔意向28天、索赔报告28天；费用与工期索赔应在同一事件中一并提出，证据同步固定。</w:t>
      </w:r>
    </w:p>
    <w:p>
      <w:pPr>
        <w:pStyle w:val="Heading3"/>
        <w:pageBreakBefore/>
        <w:spacing w:before="120"/>
      </w:pPr>
      <w:bookmarkStart w:id="109" w:name="_LarkToc00109"/>
      <w:r>
        <w:t>附件8-10　变更、签证、索赔事项台账（时效跟踪）</w:t>
      </w:r>
      <w:bookmarkEnd w:id="109"/>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【用途】统一登记全部变更、签证、索赔事项，标注关键时效（如28天）并设置到期提醒，防止逾期失权。</w:t>
      </w:r>
    </w:p>
    <w:p>
      <w:pPr>
        <w:keepNext/>
        <w:spacing w:before="80" w:after="40" w:line="288" w:lineRule="auto"/>
        <w:ind w:firstLine="0"/>
        <w:jc w:val="center"/>
      </w:pPr>
      <w:r>
        <w:rPr>
          <w:rFonts w:ascii="Times New Roman" w:hAnsi="Times New Roman" w:eastAsia="黑体"/>
          <w:b/>
          <w:i w:val="0"/>
          <w:color w:val="000000"/>
          <w:sz w:val="21"/>
        </w:rPr>
        <w:t>表8-10　变更签证索赔台账</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编号</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类型</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发生日期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意向/报送日期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时效截止日</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确认状态</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金额/工期</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归档</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□变更□签证□索赔</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□未报□已报□已确认□争议</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□已归</w:t>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pStyle w:val="Heading3"/>
        <w:pageBreakBefore/>
        <w:spacing w:before="120"/>
      </w:pPr>
      <w:bookmarkStart w:id="110" w:name="_LarkToc00110"/>
      <w:r>
        <w:t>附件8-11　资金收支计划与现金流测算表</w:t>
      </w:r>
      <w:bookmarkEnd w:id="110"/>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【用途】按月滚动编制，以收定支，预警资金缺口；优先保工资、安全投入和关键材料。</w:t>
      </w:r>
    </w:p>
    <w:p>
      <w:pPr>
        <w:keepNext/>
        <w:spacing w:before="80" w:after="40" w:line="288" w:lineRule="auto"/>
        <w:ind w:firstLine="0"/>
        <w:jc w:val="center"/>
      </w:pPr>
      <w:r>
        <w:rPr>
          <w:rFonts w:ascii="Times New Roman" w:hAnsi="Times New Roman" w:eastAsia="黑体"/>
          <w:b/>
          <w:i w:val="0"/>
          <w:color w:val="000000"/>
          <w:sz w:val="21"/>
        </w:rPr>
        <w:t>表8-11　月度资金收支与现金流测算表（金额单位：元）</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本月计划</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本月实际</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一、期初资金余额</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二、资金流入</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工程进度款</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预付款/其他</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三、资金流出</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农民工工资</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优先保障</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材料款</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机械/租赁</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分包款</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安全费用</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专款专用</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税费</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管理费用</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四、期末资金余额</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五、资金缺口/盈余</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缺口需预警</w:t>
            </w:r>
          </w:p>
        </w:tc>
      </w:tr>
    </w:tbl>
    <w:p>
      <w:pPr>
        <w:pStyle w:val="Heading3"/>
        <w:pageBreakBefore/>
        <w:spacing w:before="120"/>
      </w:pPr>
      <w:bookmarkStart w:id="111" w:name="_LarkToc00111"/>
      <w:r>
        <w:t>附件8-12　农民工工资专户、实名制、代发与保证金台账</w:t>
      </w:r>
      <w:bookmarkEnd w:id="111"/>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【用途】落实专户、实名、总包代发、工资保证金四项制度，防范拖欠和群体性事件。</w:t>
      </w:r>
    </w:p>
    <w:p>
      <w:pPr>
        <w:keepNext/>
        <w:spacing w:before="80" w:after="40" w:line="288" w:lineRule="auto"/>
        <w:ind w:firstLine="0"/>
        <w:jc w:val="center"/>
      </w:pPr>
      <w:r>
        <w:rPr>
          <w:rFonts w:ascii="Times New Roman" w:hAnsi="Times New Roman" w:eastAsia="黑体"/>
          <w:b/>
          <w:i w:val="0"/>
          <w:color w:val="000000"/>
          <w:sz w:val="21"/>
        </w:rPr>
        <w:t>表8-12-1　农民工工资管理核查表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制度</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落实情况</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凭证/台账</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工资专用账户</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总包开立、专款专用、不得查封（非工资原因）</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□已开□否</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开户证明</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实名制管理</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进场登记、考勤、劳动合同</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□已落实</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实名制台账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总包代发</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工资通过专户直发本人</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□已落实</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代发记录</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工资保证金</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合同额1%-3%，总包存储或银行保函</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□已存□保函</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存储凭证</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维权公示</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现场公示维权信息、告示牌</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□已设</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照片</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按月足额支付</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考勤、工资表、发放一致</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□已落实</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工资表/银行流水</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keepNext/>
        <w:spacing w:before="80" w:after="40" w:line="288" w:lineRule="auto"/>
        <w:ind w:firstLine="0"/>
        <w:jc w:val="center"/>
      </w:pPr>
      <w:r>
        <w:rPr>
          <w:rFonts w:ascii="Times New Roman" w:hAnsi="Times New Roman" w:eastAsia="黑体"/>
          <w:b/>
          <w:i w:val="0"/>
          <w:color w:val="000000"/>
          <w:sz w:val="21"/>
        </w:rPr>
        <w:t>表8-12-2　实名制用工与工资发放台账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姓名</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身份证号</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工种/班组</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考勤（工日）</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应发</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代扣</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实发</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本人签字</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依据：国务院令第724号第二十六条、第三十一条、第三十三条；人社部发〔2021〕65号（1%—3%、总包存储、可保函）。</w:t>
      </w:r>
    </w:p>
    <w:p>
      <w:pPr>
        <w:pStyle w:val="Heading3"/>
        <w:pageBreakBefore/>
        <w:spacing w:before="120"/>
      </w:pPr>
      <w:bookmarkStart w:id="112" w:name="_LarkToc00112"/>
      <w:r>
        <w:t>附件8-13　发票与税务管理台账</w:t>
      </w:r>
      <w:bookmarkEnd w:id="112"/>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【用途】管理进项发票和销项开票，做到四流一致，按时申报、异地预缴，防控发票风险。</w:t>
      </w:r>
    </w:p>
    <w:p>
      <w:pPr>
        <w:keepNext/>
        <w:spacing w:before="80" w:after="40" w:line="288" w:lineRule="auto"/>
        <w:ind w:firstLine="0"/>
        <w:jc w:val="center"/>
      </w:pPr>
      <w:r>
        <w:rPr>
          <w:rFonts w:ascii="Times New Roman" w:hAnsi="Times New Roman" w:eastAsia="黑体"/>
          <w:b/>
          <w:i w:val="0"/>
          <w:color w:val="000000"/>
          <w:sz w:val="21"/>
        </w:rPr>
        <w:t>表8-13　发票与税务管理台账</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类型</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对方单位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税率/征收率</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税额</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发票号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合同/付款对应</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□进项□销项</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注：增值税计税方式、分包差额扣除、甲供工程简易计税、异地预缴等以现行税收政策和主管税务机关要求为准；发票内容应与合同、资金、货物（服务）一致，严禁接受虚开、虚开发票。</w:t>
      </w:r>
    </w:p>
    <w:p>
      <w:pPr>
        <w:pStyle w:val="Heading3"/>
        <w:pageBreakBefore/>
        <w:spacing w:before="120"/>
      </w:pPr>
      <w:bookmarkStart w:id="113" w:name="_LarkToc00113"/>
      <w:r>
        <w:t>附件8-14　计量与进度款申报跟踪台账</w:t>
      </w:r>
      <w:bookmarkEnd w:id="113"/>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【用途】跟踪每期计量、申报、审核、开票、回款全过程，逾期未付及时发函催款。</w:t>
      </w:r>
    </w:p>
    <w:p>
      <w:pPr>
        <w:keepNext/>
        <w:spacing w:before="80" w:after="40" w:line="288" w:lineRule="auto"/>
        <w:ind w:firstLine="0"/>
        <w:jc w:val="center"/>
      </w:pPr>
      <w:r>
        <w:rPr>
          <w:rFonts w:ascii="Times New Roman" w:hAnsi="Times New Roman" w:eastAsia="黑体"/>
          <w:b/>
          <w:i w:val="0"/>
          <w:color w:val="000000"/>
          <w:sz w:val="21"/>
        </w:rPr>
        <w:t>表8-14　进度款计量与回款台账</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期次</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计量周期</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已完工程量</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申报金额</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监理/业主确认</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审核金额</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开票日期</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实付金额</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到账日期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逾期/欠款</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bl>
    <w:p>
      <w:pPr>
        <w:pStyle w:val="Heading3"/>
        <w:pageBreakBefore/>
        <w:spacing w:before="120"/>
      </w:pPr>
      <w:bookmarkStart w:id="114" w:name="_LarkToc00114"/>
      <w:r>
        <w:t>附件8-15　转包、违法分包、挂靠合规自查表</w:t>
      </w:r>
      <w:bookmarkEnd w:id="114"/>
    </w:p>
    <w:p>
      <w:pPr>
        <w:spacing w:before="0" w:after="40" w:line="312" w:lineRule="auto"/>
        <w:ind w:firstLine="0"/>
        <w:jc w:val="left"/>
      </w:pPr>
      <w:r>
        <w:rPr>
          <w:rFonts w:ascii="Times New Roman" w:hAnsi="Times New Roman" w:eastAsia="宋体"/>
          <w:b w:val="0"/>
          <w:i w:val="0"/>
          <w:color w:val="595959"/>
          <w:sz w:val="18"/>
        </w:rPr>
        <w:t>【归属】第8章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【用途】定期自查，凡命中“视同转包/挂靠/违法分包”情形的立即整改，守住资质和合同效力底线。</w:t>
      </w:r>
    </w:p>
    <w:p>
      <w:pPr>
        <w:keepNext/>
        <w:spacing w:before="80" w:after="40" w:line="288" w:lineRule="auto"/>
        <w:ind w:firstLine="0"/>
        <w:jc w:val="center"/>
      </w:pPr>
      <w:r>
        <w:rPr>
          <w:rFonts w:ascii="Times New Roman" w:hAnsi="Times New Roman" w:eastAsia="黑体"/>
          <w:b/>
          <w:i w:val="0"/>
          <w:color w:val="000000"/>
          <w:sz w:val="21"/>
        </w:rPr>
        <w:t>表8-15　承包行为合规自查表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自查项</w:t>
            </w:r>
          </w:p>
        </w:tc>
        <w:tc>
          <w:tcPr>
            <w:tcW w:type="dxa" w:w="340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违规情形</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是否存在</w:t>
            </w:r>
          </w:p>
        </w:tc>
        <w:tc>
          <w:tcPr>
            <w:tcW w:type="dxa" w:w="255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项目管理机构</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是否在现场设立项目管理机构</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人员派驻</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是否派驻项目负责人、技术、质量、安全等管理人员</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人员身份</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五类关键人员是否为本单位人员（劳动合同/社保）</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组织管理</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是否对施工活动实际组织管理（视同转包检查）</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主体结构</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是否将主体结构施工分包给他人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分包资质</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分包单位是否具备相应资质</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认可约定</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分包是否在合同约定或经建设单位认可</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再分包</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是否存在分包单位再分包</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9</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资质借用</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是否出借资质/允许他人以本企业名义承揽</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财务物资</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资金、主材、设备是否由本单位统一管理</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依据：《建筑法》第二十六条、第二十八条；《建设工程质量管理条例》第七十八条；《房屋建筑和市政基础设施工程施工分包管理办法》（住建部令第47号）第十三条至第十五条。</w:t>
      </w:r>
    </w:p>
    <w:p>
      <w:pPr>
        <w:pStyle w:val="Heading2"/>
        <w:pageBreakBefore/>
      </w:pPr>
      <w:bookmarkStart w:id="11" w:name="_LarkToc00011"/>
      <w:r>
        <w:t>第9章　收尾验收：善始善终，把工程“干净利索”交出去</w:t>
      </w:r>
      <w:bookmarkEnd w:id="11"/>
    </w:p>
    <w:p>
      <w:pPr>
        <w:pStyle w:val="sec_head"/>
      </w:pPr>
      <w:r>
        <w:t>9.1　收尾不是“扫尾”，而是决定回款的关键仗</w:t>
      </w:r>
    </w:p>
    <w:p>
      <w:pPr>
        <w:spacing w:before="0" w:after="0" w:line="360" w:lineRule="auto"/>
        <w:ind w:firstLine="480"/>
        <w:jc w:val="both"/>
      </w:pPr>
      <w:r>
        <w:rPr>
          <w:rFonts w:ascii="Times New Roman" w:hAnsi="Times New Roman" w:eastAsia="宋体"/>
          <w:b w:val="0"/>
          <w:i w:val="0"/>
          <w:color w:val="000000"/>
          <w:sz w:val="24"/>
        </w:rPr>
        <w:t>很多项目“重开工、轻收尾”，主体一干完就抽人撤场，留下尾活、资料、缺陷、移交一堆问题，导致验收拖、结算拖、回款拖。收尾阶段要像打仗一样组织“最后一公里”：成立收尾专班，列出尾项清单、缺陷清单、资料清单、移交清单，限期销项，把工程“干净利索、资料齐全、责任清楚”地交出去。</w:t>
      </w:r>
    </w:p>
    <w:p>
      <w:pPr>
        <w:pStyle w:val="sec_head"/>
      </w:pPr>
      <w:r>
        <w:t>9.2　竣工预验收：自己先查、先整改</w:t>
      </w:r>
    </w:p>
    <w:p>
      <w:pPr>
        <w:spacing w:before="0" w:after="0" w:line="360" w:lineRule="auto"/>
        <w:ind w:firstLine="480"/>
        <w:jc w:val="both"/>
      </w:pPr>
      <w:r>
        <w:rPr>
          <w:rFonts w:ascii="Times New Roman" w:hAnsi="Times New Roman" w:eastAsia="宋体"/>
          <w:b w:val="0"/>
          <w:i w:val="0"/>
          <w:color w:val="000000"/>
          <w:sz w:val="24"/>
        </w:rPr>
        <w:t>正式竣工验收前，施工单位应组织自检和竣工预验收，对发现的质量缺陷、尾项工程、资料缺项集中整改，形成整改闭环。监理预验收合格后，再向建设单位提交竣工报告，申请竣工验收。切忌“带病报验”，一次不通过往往造成数月的验收和结算延误。</w:t>
      </w:r>
    </w:p>
    <w:p>
      <w:pPr>
        <w:pStyle w:val="sec_head"/>
      </w:pPr>
      <w:r>
        <w:t>9.3　竣工验收条件与程序</w:t>
      </w:r>
    </w:p>
    <w:p>
      <w:pPr>
        <w:spacing w:before="0" w:after="0" w:line="360" w:lineRule="auto"/>
        <w:ind w:firstLine="480"/>
        <w:jc w:val="both"/>
      </w:pPr>
      <w:r>
        <w:rPr>
          <w:rFonts w:ascii="Times New Roman" w:hAnsi="Times New Roman" w:eastAsia="宋体"/>
          <w:b w:val="0"/>
          <w:i w:val="0"/>
          <w:color w:val="000000"/>
          <w:sz w:val="24"/>
        </w:rPr>
        <w:t>竣工验收一般应具备：完成设计和合同约定的全部内容；施工资料完整；主要材料构配件和设备进场试验报告齐全；各分部工程验收合格；施工单位签署工程质量保修书；规划、消防、环保等专项验收或备案按规定完成；建设单位已按要求组织勘察、设计、施工、监理等单位验收。施工单位应熟悉验收条件核查表（见附件9-1）。</w:t>
      </w:r>
    </w:p>
    <w:p>
      <w:pPr>
        <w:pStyle w:val="sec_head"/>
      </w:pPr>
      <w:r>
        <w:t>9.4　竣工资料：验收和结算的“证据弹药库”</w:t>
      </w:r>
    </w:p>
    <w:p>
      <w:pPr>
        <w:spacing w:before="0" w:after="0" w:line="360" w:lineRule="auto"/>
        <w:ind w:firstLine="480"/>
        <w:jc w:val="both"/>
      </w:pPr>
      <w:r>
        <w:rPr>
          <w:rFonts w:ascii="Times New Roman" w:hAnsi="Times New Roman" w:eastAsia="宋体"/>
          <w:b w:val="0"/>
          <w:i w:val="0"/>
          <w:color w:val="000000"/>
          <w:sz w:val="24"/>
        </w:rPr>
        <w:t>竣工资料是工程质量的法定凭证，也是结算、索赔、保修和争议处理的基础。资料应与施工同步形成，做到真实、完整、可追溯，严禁后补、伪造。按分部分项、质量保证、施工管理、竣工图、变更签证、试验检测、验收记录等分册归档，移交时办理资料移交清单和签收手续。</w:t>
      </w:r>
    </w:p>
    <w:p>
      <w:pPr>
        <w:pStyle w:val="sec_head"/>
      </w:pPr>
      <w:r>
        <w:t>9.5　工程移交与现场清退</w:t>
      </w:r>
    </w:p>
    <w:p>
      <w:pPr>
        <w:spacing w:before="0" w:after="0" w:line="360" w:lineRule="auto"/>
        <w:ind w:firstLine="480"/>
        <w:jc w:val="both"/>
      </w:pPr>
      <w:r>
        <w:rPr>
          <w:rFonts w:ascii="Times New Roman" w:hAnsi="Times New Roman" w:eastAsia="宋体"/>
          <w:b w:val="0"/>
          <w:i w:val="0"/>
          <w:color w:val="000000"/>
          <w:sz w:val="24"/>
        </w:rPr>
        <w:t>验收合格后及时办理工程移交，签署移交单，明确移交时间、移交范围、钥匙设备、成品保护责任和风险转移节点；同步清退现场、拆除临设、清运垃圾、恢复场地、结算水电费、办理人员和材料撤场。移交节点直接关系到保修期起算、保管责任和相关费用，务必书面确认。</w:t>
      </w:r>
    </w:p>
    <w:p>
      <w:pPr>
        <w:pStyle w:val="sec_head"/>
      </w:pPr>
      <w:r>
        <w:t>9.6　移交不是终点：尾项遗留问题的持续跟踪闭环</w:t>
      </w:r>
    </w:p>
    <w:p>
      <w:pPr>
        <w:spacing w:before="0" w:after="0" w:line="360" w:lineRule="auto"/>
        <w:ind w:firstLine="480"/>
        <w:jc w:val="both"/>
      </w:pPr>
      <w:r>
        <w:rPr>
          <w:rFonts w:ascii="Times New Roman" w:hAnsi="Times New Roman" w:eastAsia="宋体"/>
          <w:b w:val="0"/>
          <w:i w:val="0"/>
          <w:color w:val="000000"/>
          <w:sz w:val="24"/>
        </w:rPr>
        <w:t>工程移交、签署移交单后，并不意味着施工责任全部结束。移交时遗留的尾项、未完小修、需物业或业主配合的事项、保修期内可能暴露的问题，必须建立移交后的跟踪台账（见附件9-6）：逐项登记责任方、整改措施、完成期限，销号后还要在雨季、采暖季等关键节点回访跟踪，直至物业或业主书面确认接收、问题彻底闭环。要区分两个阶段：附件9-3管“验收前”的整改销号，附件9-6管“移交后”的持续跟踪；移交后尾项久拖不决，不仅影响企业信誉和尾款、质保金回收，还可能在保修期内演变为业主索赔。</w:t>
      </w:r>
    </w:p>
    <w:p>
      <w:pPr>
        <w:pStyle w:val="attach_div"/>
        <w:pageBreakBefore/>
        <w:jc w:val="center"/>
      </w:pPr>
      <w:r>
        <w:t>第9章　章末附件</w:t>
      </w:r>
    </w:p>
    <w:p>
      <w:pPr>
        <w:spacing w:before="0" w:after="0" w:line="360" w:lineRule="auto"/>
        <w:ind w:firstLine="480"/>
        <w:jc w:val="both"/>
      </w:pPr>
      <w:r>
        <w:rPr>
          <w:rFonts w:ascii="Times New Roman" w:hAnsi="Times New Roman" w:eastAsia="宋体"/>
          <w:b w:val="0"/>
          <w:i w:val="0"/>
          <w:color w:val="000000"/>
          <w:sz w:val="24"/>
        </w:rPr>
        <w:t>本页之后为《收尾验收：善始善终》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15" w:name="_LarkToc00115"/>
      <w:r>
        <w:t>附件9-1　竣工验收条件核查表</w:t>
      </w:r>
      <w:bookmarkEnd w:id="115"/>
    </w:p>
    <w:p>
      <w:pPr>
        <w:spacing w:before="0" w:after="40" w:line="312" w:lineRule="auto"/>
        <w:ind w:firstLine="0"/>
        <w:jc w:val="left"/>
      </w:pPr>
      <w:r>
        <w:rPr>
          <w:rFonts w:ascii="Times New Roman" w:hAnsi="Times New Roman" w:eastAsia="宋体"/>
          <w:b w:val="0"/>
          <w:i w:val="0"/>
          <w:color w:val="595959"/>
          <w:sz w:val="18"/>
        </w:rPr>
        <w:t>【归属】第9章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【用途】申请竣工验收前逐项核查，未满足项整改完毕后再报验，避免“带病报验”反复退件。</w:t>
      </w:r>
    </w:p>
    <w:p>
      <w:pPr>
        <w:keepNext/>
        <w:spacing w:before="80" w:after="40" w:line="288" w:lineRule="auto"/>
        <w:ind w:firstLine="0"/>
        <w:jc w:val="center"/>
      </w:pPr>
      <w:r>
        <w:rPr>
          <w:rFonts w:ascii="Times New Roman" w:hAnsi="Times New Roman" w:eastAsia="黑体"/>
          <w:b/>
          <w:i w:val="0"/>
          <w:color w:val="000000"/>
          <w:sz w:val="21"/>
        </w:rPr>
        <w:t>表9-1　竣工验收条件核查表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验收条件</w:t>
            </w:r>
          </w:p>
        </w:tc>
        <w:tc>
          <w:tcPr>
            <w:tcW w:type="dxa" w:w="294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核查内容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是否满足</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工程内容</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完成设计及合同约定全部内容、尾项清零</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分部工程</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各分部（子分部）工程验收合格</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质量问题</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预验收缺陷整改完成、复验合格</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试验检测</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材料、构配件、设备试验报告齐全</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功能性试验</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通水、通电、试压、蓄水、调试等合格</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竣工资料</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施工资料、竣工图完整、签字盖章齐全</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专项验收</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规划、消防、环保等专项验收/备案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质量保修书</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签署工程质量保修书，明确保修期</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9</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现场清理</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现场清理、临设拆除、成品保护</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竣工报告</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施工单位提交竣工报告并申请验收</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16" w:name="_LarkToc00116"/>
      <w:r>
        <w:t>附件9-2　竣工资料归档移交清单</w:t>
      </w:r>
      <w:bookmarkEnd w:id="116"/>
    </w:p>
    <w:p>
      <w:pPr>
        <w:spacing w:before="0" w:after="40" w:line="312" w:lineRule="auto"/>
        <w:ind w:firstLine="0"/>
        <w:jc w:val="left"/>
      </w:pPr>
      <w:r>
        <w:rPr>
          <w:rFonts w:ascii="Times New Roman" w:hAnsi="Times New Roman" w:eastAsia="宋体"/>
          <w:b w:val="0"/>
          <w:i w:val="0"/>
          <w:color w:val="595959"/>
          <w:sz w:val="18"/>
        </w:rPr>
        <w:t>【归属】第9章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【用途】按分册整理、逐册核对，办理移交签收。资料移交是结算和保修的前提，须留存签收记录。</w:t>
      </w:r>
    </w:p>
    <w:p>
      <w:pPr>
        <w:keepNext/>
        <w:spacing w:before="80" w:after="40" w:line="288" w:lineRule="auto"/>
        <w:ind w:firstLine="0"/>
        <w:jc w:val="center"/>
      </w:pPr>
      <w:r>
        <w:rPr>
          <w:rFonts w:ascii="Times New Roman" w:hAnsi="Times New Roman" w:eastAsia="黑体"/>
          <w:b/>
          <w:i w:val="0"/>
          <w:color w:val="000000"/>
          <w:sz w:val="21"/>
        </w:rPr>
        <w:t>表9-2　竣工资料归档清单</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分册</w:t>
            </w:r>
          </w:p>
        </w:tc>
        <w:tc>
          <w:tcPr>
            <w:tcW w:type="dxa" w:w="340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资料内容</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份数</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是否齐全</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一·施工管理</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开工报告、施组、技术交底、图纸会审、会议纪要</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二·质量保证</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材料合格证、复试报告、计量器具</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三·施工记录</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施工日志、隐蔽记录、测量放线、沉降观测</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四·试验检测</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混凝土、钢筋、砂浆、实体检测、功能性试验</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五·验收记录</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检验批、分项、分部、单位工程验收</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六·竣工图</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各专业竣工图（加盖竣工图章）</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七·变更签证</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设计变更、工程洽商、现场签证</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八·安全资料</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危大方案、验收、教育、检查、应急</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九·专项验收</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规划、消防、环保等验收文件</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十·其他</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质量保修书、影像资料</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17" w:name="_LarkToc00117"/>
      <w:r>
        <w:t>附件9-3　验收问题整改闭环表</w:t>
      </w:r>
      <w:bookmarkEnd w:id="117"/>
    </w:p>
    <w:p>
      <w:pPr>
        <w:spacing w:before="0" w:after="40" w:line="312" w:lineRule="auto"/>
        <w:ind w:firstLine="0"/>
        <w:jc w:val="left"/>
      </w:pPr>
      <w:r>
        <w:rPr>
          <w:rFonts w:ascii="Times New Roman" w:hAnsi="Times New Roman" w:eastAsia="宋体"/>
          <w:b w:val="0"/>
          <w:i w:val="0"/>
          <w:color w:val="595959"/>
          <w:sz w:val="18"/>
        </w:rPr>
        <w:t>【归属】第9章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【用途】对预验收、专项验收、竣工验收提出的问题逐项整改、复验、销号。</w:t>
      </w:r>
    </w:p>
    <w:p>
      <w:pPr>
        <w:keepNext/>
        <w:spacing w:before="80" w:after="40" w:line="288" w:lineRule="auto"/>
        <w:ind w:firstLine="0"/>
        <w:jc w:val="center"/>
      </w:pPr>
      <w:r>
        <w:rPr>
          <w:rFonts w:ascii="Times New Roman" w:hAnsi="Times New Roman" w:eastAsia="黑体"/>
          <w:b/>
          <w:i w:val="0"/>
          <w:color w:val="000000"/>
          <w:sz w:val="21"/>
        </w:rPr>
        <w:t>表9-3　验收问题整改闭环表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问题描述</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提出单位/日期</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整改期限</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复验结果</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销号</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□销号</w:t>
            </w:r>
          </w:p>
        </w:tc>
      </w:tr>
    </w:tbl>
    <w:p>
      <w:pPr>
        <w:pStyle w:val="Heading3"/>
        <w:pageBreakBefore/>
        <w:spacing w:before="120"/>
      </w:pPr>
      <w:bookmarkStart w:id="118" w:name="_LarkToc00118"/>
      <w:r>
        <w:t>附件9-4　工程移交（交接）单</w:t>
      </w:r>
      <w:bookmarkEnd w:id="118"/>
    </w:p>
    <w:p>
      <w:pPr>
        <w:spacing w:before="0" w:after="40" w:line="312" w:lineRule="auto"/>
        <w:ind w:firstLine="0"/>
        <w:jc w:val="left"/>
      </w:pPr>
      <w:r>
        <w:rPr>
          <w:rFonts w:ascii="Times New Roman" w:hAnsi="Times New Roman" w:eastAsia="宋体"/>
          <w:b w:val="0"/>
          <w:i w:val="0"/>
          <w:color w:val="595959"/>
          <w:sz w:val="18"/>
        </w:rPr>
        <w:t>【归属】第9章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【用途】验收合格后办理，明确移交范围、钥匙设备、资料和责任转移节点，双方签章。</w:t>
      </w:r>
    </w:p>
    <w:p>
      <w:pPr>
        <w:keepNext/>
        <w:spacing w:before="80" w:after="40" w:line="288" w:lineRule="auto"/>
        <w:ind w:firstLine="0"/>
        <w:jc w:val="center"/>
      </w:pPr>
      <w:r>
        <w:rPr>
          <w:rFonts w:ascii="Times New Roman" w:hAnsi="Times New Roman" w:eastAsia="黑体"/>
          <w:b/>
          <w:i w:val="0"/>
          <w:color w:val="000000"/>
          <w:sz w:val="21"/>
        </w:rPr>
        <w:t>表9-4　工程移交单</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123"/>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4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工程名称</w:t>
            </w:r>
          </w:p>
        </w:tc>
        <w:tc>
          <w:tcPr>
            <w:tcW w:type="dxa" w:w="612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移交范围/部位</w:t>
            </w:r>
          </w:p>
        </w:tc>
        <w:tc>
          <w:tcPr>
            <w:tcW w:type="dxa" w:w="612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移交日期</w:t>
            </w:r>
          </w:p>
        </w:tc>
        <w:tc>
          <w:tcPr>
            <w:tcW w:type="dxa" w:w="612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钥匙/设备/备品备件</w:t>
            </w:r>
          </w:p>
        </w:tc>
        <w:tc>
          <w:tcPr>
            <w:tcW w:type="dxa" w:w="612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竣工资料移交（册数）</w:t>
            </w:r>
          </w:p>
        </w:tc>
        <w:tc>
          <w:tcPr>
            <w:tcW w:type="dxa" w:w="612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水电及计量读数</w:t>
            </w:r>
          </w:p>
        </w:tc>
        <w:tc>
          <w:tcPr>
            <w:tcW w:type="dxa" w:w="612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成品保护与保管责任</w:t>
            </w:r>
          </w:p>
        </w:tc>
        <w:tc>
          <w:tcPr>
            <w:tcW w:type="dxa" w:w="612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自移交之日起由接收方负责保管（另有约定除外）</w:t>
            </w:r>
          </w:p>
        </w:tc>
      </w:tr>
      <w:tr>
        <w:trPr>
          <w:cantSplit/>
        </w:trPr>
        <w:tc>
          <w:tcPr>
            <w:tcW w:type="dxa" w:w="24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遗留问题及处理约定</w:t>
            </w:r>
          </w:p>
        </w:tc>
        <w:tc>
          <w:tcPr>
            <w:tcW w:type="dxa" w:w="612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施工单位（盖章/签字）</w:t>
            </w:r>
          </w:p>
        </w:tc>
        <w:tc>
          <w:tcPr>
            <w:tcW w:type="dxa" w:w="612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4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接收单位（建设/物业，盖章/签字）</w:t>
            </w:r>
          </w:p>
        </w:tc>
        <w:tc>
          <w:tcPr>
            <w:tcW w:type="dxa" w:w="612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pStyle w:val="Heading3"/>
        <w:pageBreakBefore/>
        <w:spacing w:before="120"/>
      </w:pPr>
      <w:bookmarkStart w:id="119" w:name="_LarkToc00119"/>
      <w:r>
        <w:t>附件9-5　竣工现场清理与撤场确认表</w:t>
      </w:r>
      <w:bookmarkEnd w:id="119"/>
    </w:p>
    <w:p>
      <w:pPr>
        <w:spacing w:before="0" w:after="40" w:line="312" w:lineRule="auto"/>
        <w:ind w:firstLine="0"/>
        <w:jc w:val="left"/>
      </w:pPr>
      <w:r>
        <w:rPr>
          <w:rFonts w:ascii="Times New Roman" w:hAnsi="Times New Roman" w:eastAsia="宋体"/>
          <w:b w:val="0"/>
          <w:i w:val="0"/>
          <w:color w:val="595959"/>
          <w:sz w:val="18"/>
        </w:rPr>
        <w:t>【归属】第9章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【用途】确认临设拆除、垃圾清运、场地恢复、人员材料撤场和费用结算，防止移交后产生费用争议。</w:t>
      </w:r>
    </w:p>
    <w:p>
      <w:pPr>
        <w:keepNext/>
        <w:spacing w:before="80" w:after="40" w:line="288" w:lineRule="auto"/>
        <w:ind w:firstLine="0"/>
        <w:jc w:val="center"/>
      </w:pPr>
      <w:r>
        <w:rPr>
          <w:rFonts w:ascii="Times New Roman" w:hAnsi="Times New Roman" w:eastAsia="黑体"/>
          <w:b/>
          <w:i w:val="0"/>
          <w:color w:val="000000"/>
          <w:sz w:val="21"/>
        </w:rPr>
        <w:t>表9-5　竣工清理与撤场确认表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30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撤场事项</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完成情况</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确认人</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1</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临时设施拆除、场地平整</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□完成</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2</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建筑垃圾、多余材料清运</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□完成</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3</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机械设备、周转材料退场</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□完成</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4</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临时水电拆除、费用结算</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□完成</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5</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围挡、大门拆除/恢复</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□完成</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6</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人员退场、实名制注销</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□完成</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7</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场地移交、照片留存</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□完成</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r>
          </w:p>
        </w:tc>
      </w:tr>
    </w:tbl>
    <w:p>
      <w:pPr>
        <w:pStyle w:val="Heading3"/>
        <w:pageBreakBefore/>
        <w:spacing w:before="120"/>
      </w:pPr>
      <w:bookmarkStart w:id="120" w:name="_LarkToc00120"/>
      <w:r>
        <w:t>附件9-6　尾项与遗留问题整改销项、移交跟踪表</w:t>
      </w:r>
      <w:bookmarkEnd w:id="120"/>
    </w:p>
    <w:p>
      <w:pPr>
        <w:spacing w:before="0" w:after="40" w:line="312" w:lineRule="auto"/>
        <w:ind w:firstLine="0"/>
        <w:jc w:val="left"/>
      </w:pPr>
      <w:r>
        <w:rPr>
          <w:rFonts w:ascii="Times New Roman" w:hAnsi="Times New Roman" w:eastAsia="宋体"/>
          <w:b w:val="0"/>
          <w:i w:val="0"/>
          <w:color w:val="595959"/>
          <w:sz w:val="18"/>
        </w:rPr>
        <w:t>【归属】第9章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工程移交后使用。与附件9-3（验收前整改销号）衔接：本表专管“移交之后”的尾项与遗留问题，逐项明确责任方、整改措施和完成期限，销号后在雨季、采暖季等节点持续回访跟踪，直至接收方书面确认闭环。</w:t>
      </w:r>
    </w:p>
    <w:p>
      <w:pPr>
        <w:keepNext/>
        <w:spacing w:before="80" w:after="40" w:line="288" w:lineRule="auto"/>
        <w:ind w:firstLine="0"/>
        <w:jc w:val="center"/>
      </w:pPr>
      <w:r>
        <w:rPr>
          <w:rFonts w:ascii="Times New Roman" w:hAnsi="Times New Roman" w:eastAsia="黑体"/>
          <w:b/>
          <w:i w:val="0"/>
          <w:color w:val="000000"/>
          <w:sz w:val="21"/>
        </w:rPr>
        <w:t>表9-6　移交后尾项与遗留问题跟踪闭环表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尾项/遗留问题</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完成期限</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销项确认</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移交后跟踪情况</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跟踪人</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（示例）地下室人防门启闭不灵</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专业分包</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更换闭门器并重新调试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2026-11-30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□已销号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2026-12雨季回访启闭正常，物业已接收</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保修专员</w:t>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本表与附件9-3分工不同——9-3记录竣工验收前的问题整改销号，本表记录工程移交后遗留尾项的持续跟踪闭环；销项须有接收方（建设单位/物业）书面确认或回访记录。示例行仅为说明填写方法，使用时删除。</w:t>
      </w:r>
    </w:p>
    <w:p>
      <w:pPr>
        <w:pStyle w:val="Heading2"/>
        <w:pageBreakBefore/>
      </w:pPr>
      <w:bookmarkStart w:id="12" w:name="_LarkToc00012"/>
      <w:r>
        <w:t>第10章　竣工结算：把辛苦钱、风险钱一分不少地收回来</w:t>
      </w:r>
      <w:bookmarkEnd w:id="12"/>
    </w:p>
    <w:p>
      <w:pPr>
        <w:pStyle w:val="sec_head"/>
      </w:pPr>
      <w:r>
        <w:t>10.1　结算是“战果回收”，不是“秋后算账”</w:t>
      </w:r>
    </w:p>
    <w:p>
      <w:pPr>
        <w:spacing w:before="0" w:after="0" w:line="360" w:lineRule="auto"/>
        <w:ind w:firstLine="480"/>
        <w:jc w:val="both"/>
      </w:pPr>
      <w:r>
        <w:rPr>
          <w:rFonts w:ascii="Times New Roman" w:hAnsi="Times New Roman" w:eastAsia="宋体"/>
          <w:b w:val="0"/>
          <w:i w:val="0"/>
          <w:color w:val="000000"/>
          <w:sz w:val="24"/>
        </w:rPr>
        <w:t>工程干完不等于钱收回。结算是项目经营成果的最终兑现，是“持久战”的收官战役。很多企业产值做得大、利润薄如纸，问题就出在结算：送审不及时、资料不齐全、变更签证没落地、对方拖延审核、欠款不催。结算工作要坚持“边施工、边整理、边送审”，竣工后第一时间报送、专人盯办、全程留痕，做到“竣工即结算、结算即清欠”。</w:t>
      </w:r>
    </w:p>
    <w:p>
      <w:pPr>
        <w:pStyle w:val="sec_head"/>
      </w:pPr>
      <w:r>
        <w:t>10.2　结算编制：合同价＋变更＋签证＋索赔＋政策性调整</w:t>
      </w:r>
    </w:p>
    <w:p>
      <w:pPr>
        <w:spacing w:before="0" w:after="0" w:line="360" w:lineRule="auto"/>
        <w:ind w:firstLine="480"/>
        <w:jc w:val="both"/>
      </w:pPr>
      <w:r>
        <w:rPr>
          <w:rFonts w:ascii="Times New Roman" w:hAnsi="Times New Roman" w:eastAsia="宋体"/>
          <w:b w:val="0"/>
          <w:i w:val="0"/>
          <w:color w:val="000000"/>
          <w:sz w:val="24"/>
        </w:rPr>
        <w:t>竣工结算价一般由合同价（或已完工程量）、变更增减、现场签证、索赔、价格调整、暂估价确认、奖惩等组成。编制时要以合同为纲，把施工过程中已确认的变更、签证、索赔逐项归集，做到“项项有依据、笔笔有证据、金额可复核”。对没有书面确认但实际发生的事项，要抓紧补齐证据后再报送。</w:t>
      </w:r>
    </w:p>
    <w:p>
      <w:pPr>
        <w:pStyle w:val="sec_head"/>
      </w:pPr>
      <w:r>
        <w:t>10.3　结算报送与签收：把“送出去”变成“有据可查”</w:t>
      </w:r>
    </w:p>
    <w:p>
      <w:pPr>
        <w:spacing w:before="0" w:after="0" w:line="360" w:lineRule="auto"/>
        <w:ind w:firstLine="480"/>
        <w:jc w:val="both"/>
      </w:pPr>
      <w:r>
        <w:rPr>
          <w:rFonts w:ascii="Times New Roman" w:hAnsi="Times New Roman" w:eastAsia="宋体"/>
          <w:b w:val="0"/>
          <w:i w:val="0"/>
          <w:color w:val="000000"/>
          <w:sz w:val="24"/>
        </w:rPr>
        <w:t>结算书编制完成后，应按合同约定的方式、份数和时限报送发包人，并务必取得签收回执（签收人、日期、份数、盖章）。采用邮寄、电子邮件、信息系统报送的，应保留可追溯的送达证据。合同约定“发包人收到结算文件后约定期限内不答复视为认可”的，应在报送时书面提示该条款，一旦对方逾期不答复，及时发函主张“视为认可”并固定证据。</w:t>
      </w:r>
    </w:p>
    <w:p>
      <w:pPr>
        <w:pStyle w:val="sec_head"/>
      </w:pPr>
      <w:r>
        <w:t>10.4　结算审核、核对与争议处理</w:t>
      </w:r>
    </w:p>
    <w:p>
      <w:pPr>
        <w:spacing w:before="0" w:after="0" w:line="360" w:lineRule="auto"/>
        <w:ind w:firstLine="480"/>
        <w:jc w:val="both"/>
      </w:pPr>
      <w:r>
        <w:rPr>
          <w:rFonts w:ascii="Times New Roman" w:hAnsi="Times New Roman" w:eastAsia="宋体"/>
          <w:b w:val="0"/>
          <w:i w:val="0"/>
          <w:color w:val="000000"/>
          <w:sz w:val="24"/>
        </w:rPr>
        <w:t>对发包人或造价咨询的审核意见，要安排熟悉现场和合同的商务人员逐条核对，核减要有依据，我方有异议的，用证据说话，形成核对纪要和争议事项清单。对合理意见可让步，对没有依据的核减坚决不让；争议事项可分项处理、先确认无争议部分、争议部分继续协商或通过调解、仲裁、诉讼解决。</w:t>
      </w:r>
    </w:p>
    <w:p>
      <w:pPr>
        <w:pStyle w:val="sec_head"/>
      </w:pPr>
      <w:r>
        <w:t>10.5　清欠与应收账款管理</w:t>
      </w:r>
    </w:p>
    <w:p>
      <w:pPr>
        <w:spacing w:before="0" w:after="0" w:line="360" w:lineRule="auto"/>
        <w:ind w:firstLine="480"/>
        <w:jc w:val="both"/>
      </w:pPr>
      <w:r>
        <w:rPr>
          <w:rFonts w:ascii="Times New Roman" w:hAnsi="Times New Roman" w:eastAsia="宋体"/>
          <w:b w:val="0"/>
          <w:i w:val="0"/>
          <w:color w:val="000000"/>
          <w:sz w:val="24"/>
        </w:rPr>
        <w:t>结算确认后，要建立应收账款台账，按账龄分析，分级催收：正常账期内例行对账，逾期的发催款函、律师函，必要时申请财产保全。对资金困难的发包人，可协商以房抵款、债务重组、分期还款，但必须评估其真实偿债能力并办理担保，防止“赢了官司拿不到钱”。</w:t>
      </w:r>
    </w:p>
    <w:p>
      <w:pPr>
        <w:pStyle w:val="sec_head"/>
      </w:pPr>
      <w:r>
        <w:t>10.6　工程价款优先受偿权：18个月，过期作废</w:t>
      </w:r>
    </w:p>
    <w:p>
      <w:pPr>
        <w:spacing w:before="0" w:after="0" w:line="360" w:lineRule="auto"/>
        <w:ind w:firstLine="480"/>
        <w:jc w:val="both"/>
      </w:pPr>
      <w:r>
        <w:rPr>
          <w:rFonts w:ascii="Times New Roman" w:hAnsi="Times New Roman" w:eastAsia="宋体"/>
          <w:b w:val="0"/>
          <w:i w:val="0"/>
          <w:color w:val="000000"/>
          <w:sz w:val="24"/>
        </w:rPr>
        <w:t>工程价款优先受偿权是施工企业对抗发包人债务风险的重要法律武器。承包人应当在合理期限内行使，但最长不得超过十八个月，自发包人应当给付建设工程价款之日起算。优先受偿的范围依照工程价款规定确定，不包括逾期付款利息、违约金、损害赔偿金，且以工程质量合格为前提。项目部和法务要把优先受偿权起算点、到期日列入台账并设到期提醒，必要时通过协商折价、申请拍卖或诉讼/仲裁及时主张，切勿因疏忽错过期限。</w:t>
      </w:r>
    </w:p>
    <w:p>
      <w:pPr>
        <w:spacing w:before="20" w:after="80" w:line="288" w:lineRule="auto"/>
        <w:ind w:firstLine="0"/>
        <w:jc w:val="left"/>
      </w:pPr>
      <w:r>
        <w:rPr>
          <w:rFonts w:ascii="Times New Roman" w:hAnsi="Times New Roman" w:eastAsia="宋体"/>
          <w:b w:val="0"/>
          <w:i w:val="0"/>
          <w:color w:val="404040"/>
          <w:sz w:val="18"/>
        </w:rPr>
        <w:t>依据：《最高人民法院关于审理建设工程施工合同纠纷案件适用法律问题的解释（一）》（法释〔2020〕25号）第三十八条（质量合格为前提）、第四十条（优先受偿范围不含利息、违约金、损害赔偿金）、第四十一条（最长十八个月，自应付款之日起算）；《民法典》第八百零七条。</w:t>
      </w:r>
    </w:p>
    <w:p>
      <w:pPr>
        <w:pStyle w:val="sec_head"/>
      </w:pPr>
      <w:r>
        <w:t>10.7　结算争议：先易后难、分级解决，守住时效</w:t>
      </w:r>
    </w:p>
    <w:p>
      <w:pPr>
        <w:spacing w:before="0" w:after="0" w:line="360" w:lineRule="auto"/>
        <w:ind w:firstLine="480"/>
        <w:jc w:val="both"/>
      </w:pPr>
      <w:r>
        <w:rPr>
          <w:rFonts w:ascii="Times New Roman" w:hAnsi="Times New Roman" w:eastAsia="宋体"/>
          <w:b w:val="0"/>
          <w:i w:val="0"/>
          <w:color w:val="000000"/>
          <w:sz w:val="24"/>
        </w:rPr>
        <w:t>结算有分歧是常态，关键是把争议管理成“可控、可退、可赢”。建议按“协商—调解—造价鉴定—仲裁/诉讼”梯次升级：先由商务人员与发包人、造价咨询逐项核对，无争议部分先行确认签认；协商不成的，邀请第三方调解；对专业性强、金额大的争议，可共同委托有资质的造价咨询机构进行鉴定；仍不能解决的，按合同约定申请仲裁或提起诉讼。全过程要盯住时效：变更、签证、索赔按合同约定时限提出，工程价款优先受偿权最长十八个月、自应付款之日起算，普通诉讼时效期间一般为三年，均应列入台账并设到期提醒，切勿因反复协商错过法定期间。重大争议应同步固定证据、征询法律意见，必要时申请财产保全（登记见附件10-7）。</w:t>
      </w:r>
    </w:p>
    <w:p>
      <w:pPr>
        <w:pStyle w:val="sec_head"/>
      </w:pPr>
      <w:r>
        <w:t>10.8　结算谈判：目标、底线、审批三清楚</w:t>
      </w:r>
    </w:p>
    <w:p>
      <w:pPr>
        <w:spacing w:before="0" w:after="0" w:line="360" w:lineRule="auto"/>
        <w:ind w:firstLine="480"/>
        <w:jc w:val="both"/>
      </w:pPr>
      <w:r>
        <w:rPr>
          <w:rFonts w:ascii="Times New Roman" w:hAnsi="Times New Roman" w:eastAsia="宋体"/>
          <w:b w:val="0"/>
          <w:i w:val="0"/>
          <w:color w:val="000000"/>
          <w:sz w:val="24"/>
        </w:rPr>
        <w:t>结算谈判不能“走到哪算哪”。谈判前必须算清三笔账：目标方案（理想结果）、可让步项及让步底线（最多让到多少金额或比例）、不可让步项（如安全文明施工费等不得作为竞争性费用下浮的费用）。每一轮谈判的让步幅度都要事前审批、留痕记录，谈判代表不得当场突破已批准的底线，接近底线时必须上报决策；谈判记录经双方确认后作为结算补充依据，防止“口头让步、事后不认”（审批见附件10-8）。</w:t>
      </w:r>
    </w:p>
    <w:p>
      <w:pPr>
        <w:pStyle w:val="attach_div"/>
        <w:pageBreakBefore/>
        <w:jc w:val="center"/>
      </w:pPr>
      <w:r>
        <w:t>第10章　章末附件</w:t>
      </w:r>
    </w:p>
    <w:p>
      <w:pPr>
        <w:spacing w:before="0" w:after="0" w:line="360" w:lineRule="auto"/>
        <w:ind w:firstLine="480"/>
        <w:jc w:val="both"/>
      </w:pPr>
      <w:r>
        <w:rPr>
          <w:rFonts w:ascii="Times New Roman" w:hAnsi="Times New Roman" w:eastAsia="宋体"/>
          <w:b w:val="0"/>
          <w:i w:val="0"/>
          <w:color w:val="000000"/>
          <w:sz w:val="24"/>
        </w:rPr>
        <w:t>本页之后为《竣工结算：把钱收回来》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21" w:name="_LarkToc00121"/>
      <w:r>
        <w:t>附件10-1　竣工结算书目录与组成清单</w:t>
      </w:r>
      <w:bookmarkEnd w:id="121"/>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【用途】按目录编制、自查完整性后报送；缺项应在报送前补齐。</w:t>
      </w:r>
    </w:p>
    <w:p>
      <w:pPr>
        <w:keepNext/>
        <w:spacing w:before="80" w:after="40" w:line="288" w:lineRule="auto"/>
        <w:ind w:firstLine="0"/>
        <w:jc w:val="center"/>
      </w:pPr>
      <w:r>
        <w:rPr>
          <w:rFonts w:ascii="Times New Roman" w:hAnsi="Times New Roman" w:eastAsia="黑体"/>
          <w:b/>
          <w:i w:val="0"/>
          <w:color w:val="000000"/>
          <w:sz w:val="21"/>
        </w:rPr>
        <w:t>表10-1　竣工结算书组成清单</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组成内容</w:t>
            </w:r>
          </w:p>
        </w:tc>
        <w:tc>
          <w:tcPr>
            <w:tcW w:type="dxa" w:w="340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是否齐备</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竣工结算书封面、编制说明</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工程概况、编制依据、口径</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工程结算汇总表</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合同价、增减项、送审总价</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合同及中标文件</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合同、中标通知书、投标文件</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竣工图纸</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全套、加盖竣工图章</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设计变更、工程洽商</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经确认的变更资料</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现场签证单</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签证原件及附件</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索赔资料</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意向、报告、证据</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工程量计算书</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分部分项工程量明细</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9</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材料设备价格确认</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询价、认价、调差</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竣工验收资料</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验收记录、质量合格证明</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11</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往来函件、会议纪要</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与结算相关的函件</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12</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其他</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奖惩、暂估价、政策性调整</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bl>
    <w:p>
      <w:pPr>
        <w:pStyle w:val="Heading3"/>
        <w:pageBreakBefore/>
        <w:spacing w:before="120"/>
      </w:pPr>
      <w:bookmarkStart w:id="122" w:name="_LarkToc00122"/>
      <w:r>
        <w:t>附件10-2　竣工结算送审金额汇总表</w:t>
      </w:r>
      <w:bookmarkEnd w:id="122"/>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【用途】分类汇总结算金额，使构成一目了然，便于核对。</w:t>
      </w:r>
    </w:p>
    <w:p>
      <w:pPr>
        <w:keepNext/>
        <w:spacing w:before="80" w:after="40" w:line="288" w:lineRule="auto"/>
        <w:ind w:firstLine="0"/>
        <w:jc w:val="center"/>
      </w:pPr>
      <w:r>
        <w:rPr>
          <w:rFonts w:ascii="Times New Roman" w:hAnsi="Times New Roman" w:eastAsia="黑体"/>
          <w:b/>
          <w:i w:val="0"/>
          <w:color w:val="000000"/>
          <w:sz w:val="21"/>
        </w:rPr>
        <w:t>表10-2　竣工结算送审金额汇总表（金额单位：元）</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结算项目</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351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依据/说明</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合同价（固定价/按实结算基数）</w:t>
            </w:r>
          </w:p>
        </w:tc>
        <w:tc>
          <w:tcPr>
            <w:tcW w:type="dxa" w:w="158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二</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设计变更增减</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三</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现场签证增减</w:t>
            </w:r>
          </w:p>
        </w:tc>
        <w:tc>
          <w:tcPr>
            <w:tcW w:type="dxa" w:w="158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四</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工程索赔（费用）</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五</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工期顺延（费用）</w:t>
            </w:r>
          </w:p>
        </w:tc>
        <w:tc>
          <w:tcPr>
            <w:tcW w:type="dxa" w:w="158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六</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材料/人工价格调整</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暂估价、专业分包确认</w:t>
            </w:r>
          </w:p>
        </w:tc>
        <w:tc>
          <w:tcPr>
            <w:tcW w:type="dxa" w:w="158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八</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奖励/违约</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九</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其他（甲供材、水电费等）</w:t>
            </w:r>
          </w:p>
        </w:tc>
        <w:tc>
          <w:tcPr>
            <w:tcW w:type="dxa" w:w="158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十</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送审结算总价</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9"/>
              </w:rPr>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pStyle w:val="Heading3"/>
        <w:pageBreakBefore/>
        <w:spacing w:before="120"/>
      </w:pPr>
      <w:bookmarkStart w:id="123" w:name="_LarkToc00123"/>
      <w:r>
        <w:t>附件10-3　结算资料报送与签收记录表</w:t>
      </w:r>
      <w:bookmarkEnd w:id="123"/>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【用途】每次报送都必须取得可追溯的签收证据；合同有“逾期视为认可”条款的，报送时书面提示。</w:t>
      </w:r>
    </w:p>
    <w:p>
      <w:pPr>
        <w:keepNext/>
        <w:spacing w:before="80" w:after="40" w:line="288" w:lineRule="auto"/>
        <w:ind w:firstLine="0"/>
        <w:jc w:val="center"/>
      </w:pPr>
      <w:r>
        <w:rPr>
          <w:rFonts w:ascii="Times New Roman" w:hAnsi="Times New Roman" w:eastAsia="黑体"/>
          <w:b/>
          <w:i w:val="0"/>
          <w:color w:val="000000"/>
          <w:sz w:val="21"/>
        </w:rPr>
        <w:t>表10-3　结算资料报送签收记录</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报送次数/日期</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报送内容/份数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接收单位</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签收人/盖章</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签收日期</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送达方式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合同答复期限</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是否提示逾期条款</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结算书__份</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□专人□邮寄□邮件□系统</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□已提示</w:t>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124" w:name="_LarkToc00124"/>
      <w:r>
        <w:t>附件10-4　结算审核跟踪与争议事项台账</w:t>
      </w:r>
      <w:bookmarkEnd w:id="124"/>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【用途】跟踪审核进度，逐项记录核减和争议，区分无争议部分先行确认、争议部分继续处理。</w:t>
      </w:r>
    </w:p>
    <w:p>
      <w:pPr>
        <w:keepNext/>
        <w:spacing w:before="80" w:after="40" w:line="288" w:lineRule="auto"/>
        <w:ind w:firstLine="0"/>
        <w:jc w:val="center"/>
      </w:pPr>
      <w:r>
        <w:rPr>
          <w:rFonts w:ascii="Times New Roman" w:hAnsi="Times New Roman" w:eastAsia="黑体"/>
          <w:b/>
          <w:i w:val="0"/>
          <w:color w:val="000000"/>
          <w:sz w:val="21"/>
        </w:rPr>
        <w:t>表10-4　结算审核争议台账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争议事项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我方送审金额</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对方核减金额</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核减理由</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我方依据</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处理状态</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处理方式</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□协商□调解□仲裁诉讼</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125" w:name="_LarkToc00125"/>
      <w:r>
        <w:t>附件10-5　应收账款账龄分析与清欠表</w:t>
      </w:r>
      <w:bookmarkEnd w:id="125"/>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【用途】按账龄分级管理、分级催收，记录每次催收和还款情况，评估坏账风险。</w:t>
      </w:r>
    </w:p>
    <w:p>
      <w:pPr>
        <w:keepNext/>
        <w:spacing w:before="80" w:after="40" w:line="288" w:lineRule="auto"/>
        <w:ind w:firstLine="0"/>
        <w:jc w:val="center"/>
      </w:pPr>
      <w:r>
        <w:rPr>
          <w:rFonts w:ascii="Times New Roman" w:hAnsi="Times New Roman" w:eastAsia="黑体"/>
          <w:b/>
          <w:i w:val="0"/>
          <w:color w:val="000000"/>
          <w:sz w:val="21"/>
        </w:rPr>
        <w:t>表10-5　应收账款账龄与清欠表（金额单位：元）</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债务人/项目</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应收金额</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已收</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欠款</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1年内</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1-2年</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2-3年</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3年以上</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催收措施</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还款/风险</w:t>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□对账□函件□律师函□保全</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□对账□函件□律师函□保全</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□对账□函件□律师函□保全</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□对账□函件□律师函□保全</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□对账□函件□律师函□保全</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□对账□函件□律师函□保全</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pStyle w:val="Heading3"/>
        <w:pageBreakBefore/>
        <w:spacing w:before="120"/>
      </w:pPr>
      <w:bookmarkStart w:id="126" w:name="_LarkToc00126"/>
      <w:r>
        <w:t>附件10-6　工程价款优先受偿权与诉讼时效管理表</w:t>
      </w:r>
      <w:bookmarkEnd w:id="126"/>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【用途】登记每个项目的应付款日、优先受偿权到期日（18个月）和诉讼时效，设置到期提醒，及时主张。</w:t>
      </w:r>
    </w:p>
    <w:p>
      <w:pPr>
        <w:keepNext/>
        <w:spacing w:before="80" w:after="40" w:line="288" w:lineRule="auto"/>
        <w:ind w:firstLine="0"/>
        <w:jc w:val="center"/>
      </w:pPr>
      <w:r>
        <w:rPr>
          <w:rFonts w:ascii="Times New Roman" w:hAnsi="Times New Roman" w:eastAsia="黑体"/>
          <w:b/>
          <w:i w:val="0"/>
          <w:color w:val="000000"/>
          <w:sz w:val="21"/>
        </w:rPr>
        <w:t>表10-6　优先受偿权与时效管理表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质量是否合格</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应付款之日</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优先受偿到期日（+18个月）</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剩余天数</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拟采取方式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是否已起诉/仲裁</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□协商折价□申请拍卖□诉讼仲裁</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法释〔2020〕25号第三十八条、第四十条、第四十一条；《民法典》第八百零七条。起算点“应当给付建设工程价款之日”因合同约定（结算条件、付款节点）不同而不同，具体以合同约定和裁判规则为准，重大事项应征求法律意见。</w:t>
      </w:r>
    </w:p>
    <w:p>
      <w:pPr>
        <w:pStyle w:val="Heading3"/>
        <w:pageBreakBefore/>
        <w:spacing w:before="120"/>
      </w:pPr>
      <w:bookmarkStart w:id="127" w:name="_LarkToc00127"/>
      <w:r>
        <w:t>附件10-7　结算争议、造价鉴定与司法解决流程表</w:t>
      </w:r>
      <w:bookmarkEnd w:id="127"/>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【用途】对结算审核中无法达成一致的争议逐项登记，按“协商—调解—造价鉴定—仲裁/诉讼”梯次处理，无争议部分先行确认，争议部分盯住关键节点和时效，全过程留痕。</w:t>
      </w:r>
    </w:p>
    <w:p>
      <w:pPr>
        <w:keepNext/>
        <w:spacing w:before="80" w:after="40" w:line="288" w:lineRule="auto"/>
        <w:ind w:firstLine="0"/>
        <w:jc w:val="center"/>
      </w:pPr>
      <w:r>
        <w:rPr>
          <w:rFonts w:ascii="Times New Roman" w:hAnsi="Times New Roman" w:eastAsia="黑体"/>
          <w:b/>
          <w:i w:val="0"/>
          <w:color w:val="000000"/>
          <w:sz w:val="21"/>
        </w:rPr>
        <w:t>表10-7-1　结算争议解决路径与流程节点</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解决路径</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启动节点/条件</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关键时限（以合同及现行法律为准）</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主要工作</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一、协商核对</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收到审核意见后即启动</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合同约定的核对/答复期内</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逐项核对量价，形成核对纪要，无争议部分先签认</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商务经理</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二、第三方调解</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协商两轮仍分歧</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约定期限内</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邀请造价咨询或主管部门/行业协会调解，签调解纪要</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商务/法务</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三、造价鉴定</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专业性强、金额大，调解不成</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按鉴定机构要求举证、质证</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共同委托有资质机构鉴定，提交完整结算证据</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商务/造价</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四、仲裁</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合同约定仲裁条款</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仲裁时效内，注意优先受偿权18个月</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提交仲裁申请，必要时申请财产保全</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法务/外聘律师</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五、诉讼</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无仲裁条款或仲裁不成</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普通诉讼时效期间一般三年</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向有管辖权法院起诉，注意优先受偿权期限</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法务/外聘律师</w:t>
            </w:r>
          </w:p>
        </w:tc>
      </w:tr>
    </w:tbl>
    <w:p>
      <w:pPr>
        <w:keepNext/>
        <w:spacing w:before="80" w:after="40" w:line="288" w:lineRule="auto"/>
        <w:ind w:firstLine="0"/>
        <w:jc w:val="center"/>
      </w:pPr>
      <w:r>
        <w:rPr>
          <w:rFonts w:ascii="Times New Roman" w:hAnsi="Times New Roman" w:eastAsia="黑体"/>
          <w:b/>
          <w:i w:val="0"/>
          <w:color w:val="000000"/>
          <w:sz w:val="21"/>
        </w:rPr>
        <w:t>表10-7-2　结算争议登记与处理跟踪表（金额单位：元）</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争议事项</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争议金额</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我方主张及依据</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对方意见</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解决路径</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关键节点/时效</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状态</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（示例）屋面卷材防水工程量争议</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128,600.00</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按竣工图、现场签证实算，依据GB 50500清单计价</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按清单图示量，主张核减12.86万元</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□造价鉴定□诉讼</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鉴定举证期__日；优先受偿权18个月、诉讼时效三年</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商务经理</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□鉴定中</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争议金额保留两位小数；关键节点/时效（变更签证索赔28天、优先受偿权最长18个月、普通诉讼时效一般三年等）以合同专用条款及现行法律为准，重大事项应征询法律意见。示例行仅为说明填写方法，使用时删除。</w:t>
      </w:r>
    </w:p>
    <w:p>
      <w:pPr>
        <w:pStyle w:val="Heading3"/>
        <w:pageBreakBefore/>
        <w:spacing w:before="120"/>
      </w:pPr>
      <w:bookmarkStart w:id="128" w:name="_LarkToc00128"/>
      <w:r>
        <w:t>附件10-8　结算谈判策略与让步底线审批表</w:t>
      </w:r>
      <w:bookmarkEnd w:id="128"/>
    </w:p>
    <w:p>
      <w:pPr>
        <w:spacing w:before="0" w:after="40" w:line="312" w:lineRule="auto"/>
        <w:ind w:firstLine="0"/>
        <w:jc w:val="left"/>
      </w:pPr>
      <w:r>
        <w:rPr>
          <w:rFonts w:ascii="Times New Roman" w:hAnsi="Times New Roman" w:eastAsia="宋体"/>
          <w:b w:val="0"/>
          <w:i w:val="0"/>
          <w:color w:val="595959"/>
          <w:sz w:val="18"/>
        </w:rPr>
        <w:t>【归属】第10章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【用途】每一轮结算谈判前填写并报审批：明确目标方案、可让步项、让步底线和不可让步项，谈判代表不得当场突破已批准底线；谈判结果经双方确认后作为结算补充依据。</w:t>
      </w:r>
    </w:p>
    <w:p>
      <w:pPr>
        <w:keepNext/>
        <w:spacing w:before="80" w:after="40" w:line="288" w:lineRule="auto"/>
        <w:ind w:firstLine="0"/>
        <w:jc w:val="center"/>
      </w:pPr>
      <w:r>
        <w:rPr>
          <w:rFonts w:ascii="Times New Roman" w:hAnsi="Times New Roman" w:eastAsia="黑体"/>
          <w:b/>
          <w:i w:val="0"/>
          <w:color w:val="000000"/>
          <w:sz w:val="21"/>
        </w:rPr>
        <w:t>表10-8　结算谈判策略与让步底线审批表（金额单位：元）</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谈判轮次</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议题</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目标方案</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可让步项</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让步底线（金额/比例）</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不可让步项</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谈判结果</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第1轮</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（示例）变更签证计价原则</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按合同单价全额计入</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一般措施费可下浮</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下浮不超过5.00%</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安全文明施工费不得下浮</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总经济师</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基本达成一致</w:t>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注：让步底线（金额/比例）保留两位小数，须事前书面审批；安全文明施工费等不得作为竞争性费用下浮，质量合格对应的工程价款不得随意放弃。示例行仅为说明填写方法，使用时删除。</w:t>
      </w:r>
    </w:p>
    <w:p>
      <w:pPr>
        <w:pStyle w:val="Heading2"/>
        <w:pageBreakBefore/>
      </w:pPr>
      <w:bookmarkStart w:id="13" w:name="_LarkToc00013"/>
      <w:r>
        <w:t>第11章　质量保修：守好最后一道信誉与回款关</w:t>
      </w:r>
      <w:bookmarkEnd w:id="13"/>
    </w:p>
    <w:p>
      <w:pPr>
        <w:pStyle w:val="sec_head"/>
      </w:pPr>
      <w:r>
        <w:t>11.1　保修期与缺陷责任期：两个概念要分清</w:t>
      </w:r>
    </w:p>
    <w:p>
      <w:pPr>
        <w:spacing w:before="0" w:after="0" w:line="360" w:lineRule="auto"/>
        <w:ind w:firstLine="480"/>
        <w:jc w:val="both"/>
      </w:pPr>
      <w:r>
        <w:rPr>
          <w:rFonts w:ascii="Times New Roman" w:hAnsi="Times New Roman" w:eastAsia="宋体"/>
          <w:b w:val="0"/>
          <w:i w:val="0"/>
          <w:color w:val="000000"/>
          <w:sz w:val="24"/>
        </w:rPr>
        <w:t>缺陷责任期是扣留、返还质量保证金的期限，一般为1年，最长不超过2年，从工程通过竣工验收之日起算；质量保修期是施工单位对工程质量承担保修责任的法定最低期限，不同部位期限不同，自竣工验收合格之日起算。两者不要混为一谈：缺陷责任期届满应返还质保金，但保修责任并不因此全部结束。</w:t>
      </w:r>
    </w:p>
    <w:p>
      <w:pPr>
        <w:spacing w:before="0" w:after="0" w:line="360" w:lineRule="auto"/>
        <w:ind w:firstLine="480"/>
        <w:jc w:val="both"/>
      </w:pPr>
      <w:r>
        <w:rPr>
          <w:rFonts w:ascii="Times New Roman" w:hAnsi="Times New Roman" w:eastAsia="宋体"/>
          <w:b w:val="0"/>
          <w:i w:val="0"/>
          <w:color w:val="000000"/>
          <w:sz w:val="24"/>
        </w:rPr>
        <w:t>法定最低保修期限：基础设施工程、房屋建筑的地基基础工程和主体结构工程，为设计文件规定的合理使用年限；屋面防水工程、有防水要求的卫生间、房间和外墙面的防渗漏为5年；供热与供冷系统为2个采暖期、供冷期；电气管线、给排水管道、设备安装和装修工程为2年。合同可以约定更长的保修期，但不得低于法定最低期限。</w:t>
      </w:r>
    </w:p>
    <w:p>
      <w:pPr>
        <w:spacing w:before="20" w:after="80" w:line="288" w:lineRule="auto"/>
        <w:ind w:firstLine="0"/>
        <w:jc w:val="left"/>
      </w:pPr>
      <w:r>
        <w:rPr>
          <w:rFonts w:ascii="Times New Roman" w:hAnsi="Times New Roman" w:eastAsia="宋体"/>
          <w:b w:val="0"/>
          <w:i w:val="0"/>
          <w:color w:val="404040"/>
          <w:sz w:val="18"/>
        </w:rPr>
        <w:t>依据：《建设工程质量管理条例》（国务院令第714号，2019年修订）第四十条；《建设工程质量保证金管理办法》（建质〔2017〕138号）：缺陷责任期一般1年、最长2年，质保金总预留比例不得高于工程价款结算总额的3%。</w:t>
      </w:r>
    </w:p>
    <w:p>
      <w:pPr>
        <w:pStyle w:val="sec_head"/>
      </w:pPr>
      <w:r>
        <w:t>11.2　质保金返还：到期必须主动要</w:t>
      </w:r>
    </w:p>
    <w:p>
      <w:pPr>
        <w:spacing w:before="0" w:after="0" w:line="360" w:lineRule="auto"/>
        <w:ind w:firstLine="480"/>
        <w:jc w:val="both"/>
      </w:pPr>
      <w:r>
        <w:rPr>
          <w:rFonts w:ascii="Times New Roman" w:hAnsi="Times New Roman" w:eastAsia="宋体"/>
          <w:b w:val="0"/>
          <w:i w:val="0"/>
          <w:color w:val="000000"/>
          <w:sz w:val="24"/>
        </w:rPr>
        <w:t>质量保证金一般不超过工程价款结算总额的3%。缺陷责任期届满，承包人应按约定申请返还质保金；合同未约定返还期限的，根据司法解释，自建设工程竣工验收之日起满2年，承包人请求返还的，应予支持；因发包人原因未按期竣工验收的，自承包人提交工程竣工验收报告90日后起算缺陷责任期。企业要把质保金到期日列入台账，主动发函申请返还，逾期不返的主张利息，避免“质保金沉淀”。</w:t>
      </w:r>
    </w:p>
    <w:p>
      <w:pPr>
        <w:spacing w:before="20" w:after="80" w:line="288" w:lineRule="auto"/>
        <w:ind w:firstLine="0"/>
        <w:jc w:val="left"/>
      </w:pPr>
      <w:r>
        <w:rPr>
          <w:rFonts w:ascii="Times New Roman" w:hAnsi="Times New Roman" w:eastAsia="宋体"/>
          <w:b w:val="0"/>
          <w:i w:val="0"/>
          <w:color w:val="404040"/>
          <w:sz w:val="18"/>
        </w:rPr>
        <w:t>依据：《最高人民法院关于审理建设工程施工合同纠纷案件适用法律问题的解释（一）》（法释〔2020〕25号）第十七条：未约定返还期限的，竣工验收满2年应返还；发包人原因未验收的，提交验收报告90日后起算。</w:t>
      </w:r>
    </w:p>
    <w:p>
      <w:pPr>
        <w:pStyle w:val="sec_head"/>
      </w:pPr>
      <w:r>
        <w:t>11.3　回访保修：响应要快、责任要清、费用要明</w:t>
      </w:r>
    </w:p>
    <w:p>
      <w:pPr>
        <w:spacing w:before="0" w:after="0" w:line="360" w:lineRule="auto"/>
        <w:ind w:firstLine="480"/>
        <w:jc w:val="both"/>
      </w:pPr>
      <w:r>
        <w:rPr>
          <w:rFonts w:ascii="Times New Roman" w:hAnsi="Times New Roman" w:eastAsia="宋体"/>
          <w:b w:val="0"/>
          <w:i w:val="0"/>
          <w:color w:val="000000"/>
          <w:sz w:val="24"/>
        </w:rPr>
        <w:t>建立保修期回访制度，主动回访、及时响应。接到报修应迅速到场，先处理紧急问题防止损失扩大，再查明原因、划分责任：属于施工质量原因的，免费维修并承担费用；属于使用不当、设计原因、业主自行改动或第三方原因的，应书面说明并协商费用。每次维修都要形成报修、维修、验收记录，作为保修责任和费用的凭证。</w:t>
      </w:r>
    </w:p>
    <w:p>
      <w:pPr>
        <w:pStyle w:val="sec_head"/>
      </w:pPr>
      <w:r>
        <w:t>11.4　以保修经营信誉：把“最后一棒”跑成“下一单”</w:t>
      </w:r>
    </w:p>
    <w:p>
      <w:pPr>
        <w:spacing w:before="0" w:after="0" w:line="360" w:lineRule="auto"/>
        <w:ind w:firstLine="480"/>
        <w:jc w:val="both"/>
      </w:pPr>
      <w:r>
        <w:rPr>
          <w:rFonts w:ascii="Times New Roman" w:hAnsi="Times New Roman" w:eastAsia="宋体"/>
          <w:b w:val="0"/>
          <w:i w:val="0"/>
          <w:color w:val="000000"/>
          <w:sz w:val="24"/>
        </w:rPr>
        <w:t>保修阶段是企业信誉的延续，也是获取回头客、维护根据地的窗口。保修做得好，业主满意度高，后续维修、改造、新项目机会自然而来。这正是“群众路线”和“长期根据地”思想在经营中的体现——把每一个业主都当成长期客户经营。</w:t>
      </w:r>
    </w:p>
    <w:p>
      <w:pPr>
        <w:pStyle w:val="sec_head"/>
      </w:pPr>
      <w:r>
        <w:t>11.5　保修责任界定：先分清是谁的责任，再谈谁出钱</w:t>
      </w:r>
    </w:p>
    <w:p>
      <w:pPr>
        <w:spacing w:before="0" w:after="0" w:line="360" w:lineRule="auto"/>
        <w:ind w:firstLine="480"/>
        <w:jc w:val="both"/>
      </w:pPr>
      <w:r>
        <w:rPr>
          <w:rFonts w:ascii="Times New Roman" w:hAnsi="Times New Roman" w:eastAsia="宋体"/>
          <w:b w:val="0"/>
          <w:i w:val="0"/>
          <w:color w:val="000000"/>
          <w:sz w:val="24"/>
        </w:rPr>
        <w:t>保修期内接到报修，响应要快，但责任界定要准。到场后先紧急处置、防止损失扩大，再查明原因、界定责任：属于施工质量原因的，免费维修并承担费用；属于使用不当、业主自行改动、设计原因或第三方造成的，以及不可抗力的，应书面说明依据，与责任方协商维修和费用承担；造成业主或第三方财产损失并引发索赔的，要保留现场影像、维修记录和沟通证据，按合同约定和法律规定处理，重大索赔及时报企业法务并评估保险理赔。每次责任界定和赔偿都要履行审批，形成附件11-6记录，作为费用承担和争议处理的凭证。</w:t>
      </w:r>
    </w:p>
    <w:p>
      <w:pPr>
        <w:pStyle w:val="attach_div"/>
        <w:pageBreakBefore/>
        <w:jc w:val="center"/>
      </w:pPr>
      <w:r>
        <w:t>第11章　章末附件</w:t>
      </w:r>
    </w:p>
    <w:p>
      <w:pPr>
        <w:spacing w:before="0" w:after="0" w:line="360" w:lineRule="auto"/>
        <w:ind w:firstLine="480"/>
        <w:jc w:val="both"/>
      </w:pPr>
      <w:r>
        <w:rPr>
          <w:rFonts w:ascii="Times New Roman" w:hAnsi="Times New Roman" w:eastAsia="宋体"/>
          <w:b w:val="0"/>
          <w:i w:val="0"/>
          <w:color w:val="000000"/>
          <w:sz w:val="24"/>
        </w:rPr>
        <w:t>本页之后为《质量保修：守好最后一道关》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29" w:name="_LarkToc00129"/>
      <w:r>
        <w:t>附件11-1　质量保修期与保修范围一览表</w:t>
      </w:r>
      <w:bookmarkEnd w:id="129"/>
    </w:p>
    <w:p>
      <w:pPr>
        <w:spacing w:before="0" w:after="40" w:line="312" w:lineRule="auto"/>
        <w:ind w:firstLine="0"/>
        <w:jc w:val="left"/>
      </w:pPr>
      <w:r>
        <w:rPr>
          <w:rFonts w:ascii="Times New Roman" w:hAnsi="Times New Roman" w:eastAsia="宋体"/>
          <w:b w:val="0"/>
          <w:i w:val="0"/>
          <w:color w:val="595959"/>
          <w:sz w:val="18"/>
        </w:rPr>
        <w:t>【归属】第11章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【用途】用于签订质量保修书和保修交底；合同约定期限不得低于法定最低期限。</w:t>
      </w:r>
    </w:p>
    <w:p>
      <w:pPr>
        <w:keepNext/>
        <w:spacing w:before="80" w:after="40" w:line="288" w:lineRule="auto"/>
        <w:ind w:firstLine="0"/>
        <w:jc w:val="center"/>
      </w:pPr>
      <w:r>
        <w:rPr>
          <w:rFonts w:ascii="Times New Roman" w:hAnsi="Times New Roman" w:eastAsia="黑体"/>
          <w:b/>
          <w:i w:val="0"/>
          <w:color w:val="000000"/>
          <w:sz w:val="21"/>
        </w:rPr>
        <w:t>表11-1　法定最低保修期限一览表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294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工程部位/内容</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法定最低保修期限</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起算时间</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合同约定（不低于法定）</w:t>
            </w:r>
          </w:p>
        </w:tc>
      </w:tr>
      <w:tr>
        <w:trPr>
          <w:cantSplit/>
        </w:trPr>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地基基础、主体结构</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设计文件规定的合理使用年限</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竣工验收合格之日</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屋面防水、有防水要求的房间和外墙防渗漏</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5年</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竣工验收合格之日</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供热与供冷系统</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2个采暖期、供冷期</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竣工验收合格之日</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电气管线</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2年</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竣工验收合格之日</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给排水管道、设备安装</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2年</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竣工验收合格之日</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装修工程</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2年</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竣工验收合格之日</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其他项目</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由合同约定</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竣工验收合格之日</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依据：《建设工程质量管理条例》（国务院令第714号，2019年修订）第四十条。</w:t>
      </w:r>
    </w:p>
    <w:p>
      <w:pPr>
        <w:pStyle w:val="Heading3"/>
        <w:pageBreakBefore/>
        <w:spacing w:before="120"/>
      </w:pPr>
      <w:bookmarkStart w:id="130" w:name="_LarkToc00130"/>
      <w:r>
        <w:t>附件11-2　工程回访计划与记录表</w:t>
      </w:r>
      <w:bookmarkEnd w:id="130"/>
    </w:p>
    <w:p>
      <w:pPr>
        <w:spacing w:before="0" w:after="40" w:line="312" w:lineRule="auto"/>
        <w:ind w:firstLine="0"/>
        <w:jc w:val="left"/>
      </w:pPr>
      <w:r>
        <w:rPr>
          <w:rFonts w:ascii="Times New Roman" w:hAnsi="Times New Roman" w:eastAsia="宋体"/>
          <w:b w:val="0"/>
          <w:i w:val="0"/>
          <w:color w:val="595959"/>
          <w:sz w:val="18"/>
        </w:rPr>
        <w:t>【归属】第11章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【用途】在保修期内安排定期回访，了解使用情况和质量问题，记录并跟踪处理。</w:t>
      </w:r>
    </w:p>
    <w:p>
      <w:pPr>
        <w:keepNext/>
        <w:spacing w:before="80" w:after="40" w:line="288" w:lineRule="auto"/>
        <w:ind w:firstLine="0"/>
        <w:jc w:val="center"/>
      </w:pPr>
      <w:r>
        <w:rPr>
          <w:rFonts w:ascii="Times New Roman" w:hAnsi="Times New Roman" w:eastAsia="黑体"/>
          <w:b/>
          <w:i w:val="0"/>
          <w:color w:val="000000"/>
          <w:sz w:val="21"/>
        </w:rPr>
        <w:t>表11-2　工程回访记录表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回访日期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回访阶段</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回访人员</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使用方意见/问题</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处理安排</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使用方确认</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□竣工后□雨季□采暖季□定期</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□竣工后□雨季□采暖季□定期</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□竣工后□雨季□采暖季□定期</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□竣工后□雨季□采暖季□定期</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□竣工后□雨季□采暖季□定期</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□竣工后□雨季□采暖季□定期</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131" w:name="_LarkToc00131"/>
      <w:r>
        <w:t>附件11-3　保修维修通知单与维修单</w:t>
      </w:r>
      <w:bookmarkEnd w:id="131"/>
    </w:p>
    <w:p>
      <w:pPr>
        <w:spacing w:before="0" w:after="40" w:line="312" w:lineRule="auto"/>
        <w:ind w:firstLine="0"/>
        <w:jc w:val="left"/>
      </w:pPr>
      <w:r>
        <w:rPr>
          <w:rFonts w:ascii="Times New Roman" w:hAnsi="Times New Roman" w:eastAsia="宋体"/>
          <w:b w:val="0"/>
          <w:i w:val="0"/>
          <w:color w:val="595959"/>
          <w:sz w:val="18"/>
        </w:rPr>
        <w:t>【归属】第11章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【用途】一次报修一份，记录报修、原因、责任、维修和验收，作为保修责任与费用凭证。</w:t>
      </w:r>
    </w:p>
    <w:p>
      <w:pPr>
        <w:keepNext/>
        <w:spacing w:before="80" w:after="40" w:line="288" w:lineRule="auto"/>
        <w:ind w:firstLine="0"/>
        <w:jc w:val="center"/>
      </w:pPr>
      <w:r>
        <w:rPr>
          <w:rFonts w:ascii="Times New Roman" w:hAnsi="Times New Roman" w:eastAsia="黑体"/>
          <w:b/>
          <w:i w:val="0"/>
          <w:color w:val="000000"/>
          <w:sz w:val="21"/>
        </w:rPr>
        <w:t>表11-3　保修维修单</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3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26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工程名称/编号</w:t>
            </w:r>
          </w:p>
        </w:tc>
        <w:tc>
          <w:tcPr>
            <w:tcW w:type="dxa" w:w="63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报修日期/报修人</w:t>
            </w:r>
          </w:p>
        </w:tc>
        <w:tc>
          <w:tcPr>
            <w:tcW w:type="dxa" w:w="635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26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问题部位及现象</w:t>
            </w:r>
          </w:p>
        </w:tc>
        <w:tc>
          <w:tcPr>
            <w:tcW w:type="dxa" w:w="63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到场日期/紧急处置</w:t>
            </w:r>
          </w:p>
        </w:tc>
        <w:tc>
          <w:tcPr>
            <w:tcW w:type="dxa" w:w="635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26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原因分析</w:t>
            </w:r>
          </w:p>
        </w:tc>
        <w:tc>
          <w:tcPr>
            <w:tcW w:type="dxa" w:w="63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□施工质量□使用不当□设计□业主改动□第三方□其他</w:t>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责任归属</w:t>
            </w:r>
          </w:p>
        </w:tc>
        <w:tc>
          <w:tcPr>
            <w:tcW w:type="dxa" w:w="635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□施工方免费□使用方承担□协商□其他</w:t>
            </w:r>
          </w:p>
        </w:tc>
      </w:tr>
      <w:tr>
        <w:trPr>
          <w:cantSplit/>
        </w:trPr>
        <w:tc>
          <w:tcPr>
            <w:tcW w:type="dxa" w:w="226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维修内容/材料/人工</w:t>
            </w:r>
          </w:p>
        </w:tc>
        <w:tc>
          <w:tcPr>
            <w:tcW w:type="dxa" w:w="63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维修费用</w:t>
            </w:r>
          </w:p>
        </w:tc>
        <w:tc>
          <w:tcPr>
            <w:tcW w:type="dxa" w:w="635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26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维修完成日期</w:t>
            </w:r>
          </w:p>
        </w:tc>
        <w:tc>
          <w:tcPr>
            <w:tcW w:type="dxa" w:w="63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验收意见/使用方签字</w:t>
            </w:r>
          </w:p>
        </w:tc>
        <w:tc>
          <w:tcPr>
            <w:tcW w:type="dxa" w:w="635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pStyle w:val="Heading3"/>
        <w:pageBreakBefore/>
        <w:spacing w:before="120"/>
      </w:pPr>
      <w:bookmarkStart w:id="132" w:name="_LarkToc00132"/>
      <w:r>
        <w:t>附件11-4　质量保证金返还跟踪表</w:t>
      </w:r>
      <w:bookmarkEnd w:id="132"/>
    </w:p>
    <w:p>
      <w:pPr>
        <w:spacing w:before="0" w:after="40" w:line="312" w:lineRule="auto"/>
        <w:ind w:firstLine="0"/>
        <w:jc w:val="left"/>
      </w:pPr>
      <w:r>
        <w:rPr>
          <w:rFonts w:ascii="Times New Roman" w:hAnsi="Times New Roman" w:eastAsia="宋体"/>
          <w:b w:val="0"/>
          <w:i w:val="0"/>
          <w:color w:val="595959"/>
          <w:sz w:val="18"/>
        </w:rPr>
        <w:t>【归属】第11章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【用途】登记质保金预留、缺陷责任期到期日和返还情况，到期主动申请并跟踪返还。</w:t>
      </w:r>
    </w:p>
    <w:p>
      <w:pPr>
        <w:keepNext/>
        <w:spacing w:before="80" w:after="40" w:line="288" w:lineRule="auto"/>
        <w:ind w:firstLine="0"/>
        <w:jc w:val="center"/>
      </w:pPr>
      <w:r>
        <w:rPr>
          <w:rFonts w:ascii="Times New Roman" w:hAnsi="Times New Roman" w:eastAsia="黑体"/>
          <w:b/>
          <w:i w:val="0"/>
          <w:color w:val="000000"/>
          <w:sz w:val="21"/>
        </w:rPr>
        <w:t>表11-4　质量保证金返还跟踪表</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结算总额</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质保金比例</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质保金金额</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竣工验收日期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缺陷责任期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应返还日期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申请日期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实际返还</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≤3%</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□1年□2年</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依据：《建设工程质量保证金管理办法》（建质〔2017〕138号）：预留比例不高于结算总额3%、缺陷责任期一般1年最长2年；法释〔2020〕25号第十七条：未约定返还期限的竣工验收满2年返还，发包人原因未验收的提交报告90日后起算。</w:t>
      </w:r>
    </w:p>
    <w:p>
      <w:pPr>
        <w:pStyle w:val="Heading3"/>
        <w:pageBreakBefore/>
        <w:spacing w:before="120"/>
      </w:pPr>
      <w:bookmarkStart w:id="133" w:name="_LarkToc00133"/>
      <w:r>
        <w:t>附件11-5　缺陷责任期与保修费用台账</w:t>
      </w:r>
      <w:bookmarkEnd w:id="133"/>
    </w:p>
    <w:p>
      <w:pPr>
        <w:spacing w:before="0" w:after="40" w:line="312" w:lineRule="auto"/>
        <w:ind w:firstLine="0"/>
        <w:jc w:val="left"/>
      </w:pPr>
      <w:r>
        <w:rPr>
          <w:rFonts w:ascii="Times New Roman" w:hAnsi="Times New Roman" w:eastAsia="宋体"/>
          <w:b w:val="0"/>
          <w:i w:val="0"/>
          <w:color w:val="595959"/>
          <w:sz w:val="18"/>
        </w:rPr>
        <w:t>【归属】第11章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【用途】汇总保修期内维修事项与费用，区分责任，作为费用承担和质量改进依据。</w:t>
      </w:r>
    </w:p>
    <w:p>
      <w:pPr>
        <w:keepNext/>
        <w:spacing w:before="80" w:after="40" w:line="288" w:lineRule="auto"/>
        <w:ind w:firstLine="0"/>
        <w:jc w:val="center"/>
      </w:pPr>
      <w:r>
        <w:rPr>
          <w:rFonts w:ascii="Times New Roman" w:hAnsi="Times New Roman" w:eastAsia="黑体"/>
          <w:b/>
          <w:i w:val="0"/>
          <w:color w:val="000000"/>
          <w:sz w:val="21"/>
        </w:rPr>
        <w:t>表11-5　保修费用台账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维修日期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部位/问题</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责任归属</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人工费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费用合计</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承担方</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□施工□使用□其他</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134" w:name="_LarkToc00134"/>
      <w:r>
        <w:t>附件11-6　保修责任界定与第三方损失（含业主索赔）处理表</w:t>
      </w:r>
      <w:bookmarkEnd w:id="134"/>
    </w:p>
    <w:p>
      <w:pPr>
        <w:spacing w:before="0" w:after="40" w:line="312" w:lineRule="auto"/>
        <w:ind w:firstLine="0"/>
        <w:jc w:val="left"/>
      </w:pPr>
      <w:r>
        <w:rPr>
          <w:rFonts w:ascii="Times New Roman" w:hAnsi="Times New Roman" w:eastAsia="宋体"/>
          <w:b w:val="0"/>
          <w:i w:val="0"/>
          <w:color w:val="595959"/>
          <w:sz w:val="18"/>
        </w:rPr>
        <w:t>【归属】第11章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保修期内出现质量问题或引发业主、第三方索赔时填写。先紧急处置防止损失扩大，再界定责任、明确维修/赔偿方式并履行审批；施工质量原因免费保修，使用不当、业主改动、第三方或不可抗力造成的，费用由相应责任方承担。</w:t>
      </w:r>
    </w:p>
    <w:p>
      <w:pPr>
        <w:keepNext/>
        <w:spacing w:before="80" w:after="40" w:line="288" w:lineRule="auto"/>
        <w:ind w:firstLine="0"/>
        <w:jc w:val="center"/>
      </w:pPr>
      <w:r>
        <w:rPr>
          <w:rFonts w:ascii="Times New Roman" w:hAnsi="Times New Roman" w:eastAsia="黑体"/>
          <w:b/>
          <w:i w:val="0"/>
          <w:color w:val="000000"/>
          <w:sz w:val="21"/>
        </w:rPr>
        <w:t>表11-6　保修责任界定与第三方损失处理表（金额单位：元）</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问题描述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发生时间</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责任界定</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界定依据</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维修/赔偿方式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第三方或业主索赔金额</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处理结果</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（示例）外墙窗周边渗漏</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2026-08-10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淋水试验及现场影像，属密封胶施工缺陷</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免费打胶重做、外墙防水处理</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0.00</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维修验收合格、业主签字</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责任界定勾选“施工/业主/使用/第三方/不可抗力”，并附界定依据（维修单、现场影像、检测结论、合同条款等）；索赔金额保留两位小数，重大第三方损失或业主索赔应报企业法务并评估保险理赔。示例行仅为说明填写方法，使用时删除。</w:t>
      </w:r>
    </w:p>
    <w:p>
      <w:pPr>
        <w:pStyle w:val="Heading1"/>
      </w:pPr>
      <w:bookmarkStart w:id="14" w:name="_LarkToc00014"/>
      <w:r>
        <w:t>第三篇　生命线篇——证据链、台账时效、现金流合规</w:t>
      </w:r>
      <w:bookmarkEnd w:id="14"/>
    </w:p>
    <w:p>
      <w:pPr>
        <w:spacing w:before="0" w:after="0" w:line="360" w:lineRule="auto"/>
        <w:ind w:firstLine="480"/>
        <w:jc w:val="both"/>
      </w:pPr>
      <w:r>
        <w:rPr>
          <w:rFonts w:ascii="Times New Roman" w:hAnsi="Times New Roman" w:eastAsia="宋体"/>
          <w:b w:val="0"/>
          <w:i w:val="0"/>
          <w:color w:val="000000"/>
          <w:sz w:val="24"/>
        </w:rPr>
        <w:t>贯穿项目全流程的有三条“生命线”：证据链决定你“说不说得清、打不打得赢”，台账与时效决定你“会不会过期失权”，现金流与合规决定企业“能不能活下去”。这三条线不直接产生产值，却能在关键时刻决定一个项目、一家企业的生死。</w:t>
      </w:r>
    </w:p>
    <w:p>
      <w:pPr>
        <w:pStyle w:val="Heading2"/>
        <w:pageBreakBefore/>
      </w:pPr>
      <w:bookmarkStart w:id="15" w:name="_LarkToc00015"/>
      <w:r>
        <w:t>第12章　证据链：没有证据就没有权利</w:t>
      </w:r>
      <w:bookmarkEnd w:id="15"/>
    </w:p>
    <w:p>
      <w:pPr>
        <w:pStyle w:val="sec_head"/>
      </w:pPr>
      <w:r>
        <w:t>12.1　证据链决定胜负：从“没有调查就没有发言权”说起</w:t>
      </w:r>
    </w:p>
    <w:p>
      <w:pPr>
        <w:spacing w:before="0" w:after="0" w:line="360" w:lineRule="auto"/>
        <w:ind w:firstLine="480"/>
        <w:jc w:val="both"/>
      </w:pPr>
      <w:r>
        <w:rPr>
          <w:rFonts w:ascii="Times New Roman" w:hAnsi="Times New Roman" w:eastAsia="宋体"/>
          <w:b w:val="0"/>
          <w:i w:val="0"/>
          <w:color w:val="000000"/>
          <w:sz w:val="24"/>
        </w:rPr>
        <w:t>毛泽东同志提出“没有调查，就没有发言权”。在工程争议和索赔、诉讼中，这句话同样成立：没有证据，就没有主张权。主观判断必须符合客观事实，而客观事实靠什么证明？靠证据。很多项目不是输在理上，而是输在“有理无据”：事情确实发生过、对方确实违约过，但拿不出同步形成、原件在手、能证明对方收到的材料，最终只能吃哑巴亏。因此要树立一个基本观念——没有证据就没有权利，证据链就是企业的“生命线”。</w:t>
      </w:r>
    </w:p>
    <w:p>
      <w:pPr>
        <w:pStyle w:val="ListBullet"/>
        <w:spacing w:before="0" w:after="0" w:line="360" w:lineRule="auto"/>
        <w:ind w:firstLine="0" w:left="420"/>
        <w:jc w:val="both"/>
      </w:pPr>
      <w:r>
        <w:rPr>
          <w:rFonts w:ascii="Times New Roman" w:hAnsi="Times New Roman" w:eastAsia="宋体"/>
          <w:b w:val="0"/>
          <w:i w:val="0"/>
          <w:color w:val="000000"/>
          <w:sz w:val="24"/>
        </w:rPr>
        <w:t>打官司就是打证据：合同约定得再好，没有履行、变更、损失的证据，索赔与诉讼都难以成立。</w:t>
      </w:r>
    </w:p>
    <w:p>
      <w:pPr>
        <w:pStyle w:val="ListBullet"/>
        <w:spacing w:before="0" w:after="0" w:line="360" w:lineRule="auto"/>
        <w:ind w:firstLine="0" w:left="420"/>
        <w:jc w:val="both"/>
      </w:pPr>
      <w:r>
        <w:rPr>
          <w:rFonts w:ascii="Times New Roman" w:hAnsi="Times New Roman" w:eastAsia="宋体"/>
          <w:b w:val="0"/>
          <w:i w:val="0"/>
          <w:color w:val="000000"/>
          <w:sz w:val="24"/>
        </w:rPr>
        <w:t>证据要在事情发生时形成，而不是事后补造：事后补的材料证明力弱，甚至可能因伪造而适得其反。</w:t>
      </w:r>
    </w:p>
    <w:p>
      <w:pPr>
        <w:pStyle w:val="ListBullet"/>
        <w:spacing w:before="0" w:after="0" w:line="360" w:lineRule="auto"/>
        <w:ind w:firstLine="0" w:left="420"/>
        <w:jc w:val="both"/>
      </w:pPr>
      <w:r>
        <w:rPr>
          <w:rFonts w:ascii="Times New Roman" w:hAnsi="Times New Roman" w:eastAsia="宋体"/>
          <w:b w:val="0"/>
          <w:i w:val="0"/>
          <w:color w:val="000000"/>
          <w:sz w:val="24"/>
        </w:rPr>
        <w:t>证据要成“链”：单一材料往往说明不了问题，时间、地点、人物、内容、对方收悉五个环节要环环相扣。</w:t>
      </w:r>
    </w:p>
    <w:p>
      <w:pPr>
        <w:pStyle w:val="sec_head"/>
      </w:pPr>
      <w:r>
        <w:t>12.2　证据四原则：原始、同步、原件、可追溯</w:t>
      </w:r>
    </w:p>
    <w:p>
      <w:pPr>
        <w:spacing w:before="0" w:after="0" w:line="360" w:lineRule="auto"/>
        <w:ind w:firstLine="480"/>
        <w:jc w:val="both"/>
      </w:pPr>
      <w:r>
        <w:rPr>
          <w:rFonts w:ascii="Times New Roman" w:hAnsi="Times New Roman" w:eastAsia="宋体"/>
          <w:b w:val="0"/>
          <w:i w:val="0"/>
          <w:color w:val="000000"/>
          <w:sz w:val="24"/>
        </w:rPr>
        <w:t>现场形成的一切记录，都应按四条原则管理。这四条原则是判断一份材料能不能用、好不好用的根本标准。</w:t>
      </w:r>
    </w:p>
    <w:p>
      <w:pPr>
        <w:pStyle w:val="ListBullet"/>
        <w:spacing w:before="0" w:after="0" w:line="360" w:lineRule="auto"/>
        <w:ind w:firstLine="0" w:left="420"/>
        <w:jc w:val="both"/>
      </w:pPr>
      <w:r>
        <w:rPr>
          <w:rFonts w:ascii="Times New Roman" w:hAnsi="Times New Roman" w:eastAsia="宋体"/>
          <w:b w:val="0"/>
          <w:i w:val="0"/>
          <w:color w:val="000000"/>
          <w:sz w:val="24"/>
        </w:rPr>
        <w:t>原始：用事情发生时当场形成的第一手材料，而不是转述、回忆、事后整理的版本。</w:t>
      </w:r>
    </w:p>
    <w:p>
      <w:pPr>
        <w:pStyle w:val="ListBullet"/>
        <w:spacing w:before="0" w:after="0" w:line="360" w:lineRule="auto"/>
        <w:ind w:firstLine="0" w:left="420"/>
        <w:jc w:val="both"/>
      </w:pPr>
      <w:r>
        <w:rPr>
          <w:rFonts w:ascii="Times New Roman" w:hAnsi="Times New Roman" w:eastAsia="宋体"/>
          <w:b w:val="0"/>
          <w:i w:val="0"/>
          <w:color w:val="000000"/>
          <w:sz w:val="24"/>
        </w:rPr>
        <w:t>同步：事件发生的同时或紧接其后就记录、签字、发函，时间戳、影像、日记要对得上。</w:t>
      </w:r>
    </w:p>
    <w:p>
      <w:pPr>
        <w:pStyle w:val="ListBullet"/>
        <w:spacing w:before="0" w:after="0" w:line="360" w:lineRule="auto"/>
        <w:ind w:firstLine="0" w:left="420"/>
        <w:jc w:val="both"/>
      </w:pPr>
      <w:r>
        <w:rPr>
          <w:rFonts w:ascii="Times New Roman" w:hAnsi="Times New Roman" w:eastAsia="宋体"/>
          <w:b w:val="0"/>
          <w:i w:val="0"/>
          <w:color w:val="000000"/>
          <w:sz w:val="24"/>
        </w:rPr>
        <w:t>原件在手：盖章签字的纸质原件、带电子签章或可信时间戳的电子件要由己方妥善保管，复印件、扫描件不能替代原件。</w:t>
      </w:r>
    </w:p>
    <w:p>
      <w:pPr>
        <w:pStyle w:val="ListBullet"/>
        <w:spacing w:before="0" w:after="0" w:line="360" w:lineRule="auto"/>
        <w:ind w:firstLine="0" w:left="420"/>
        <w:jc w:val="both"/>
      </w:pPr>
      <w:r>
        <w:rPr>
          <w:rFonts w:ascii="Times New Roman" w:hAnsi="Times New Roman" w:eastAsia="宋体"/>
          <w:b w:val="0"/>
          <w:i w:val="0"/>
          <w:color w:val="000000"/>
          <w:sz w:val="24"/>
        </w:rPr>
        <w:t>可追溯：每份证据能说清“谁在何时、因何事、向谁、以何种方式、形成并送达”，并能对应到台账和归档编号。</w:t>
      </w:r>
    </w:p>
    <w:p>
      <w:pPr>
        <w:pStyle w:val="sec_head"/>
      </w:pPr>
      <w:r>
        <w:t>12.3　全过程证据如何同步形成与收集</w:t>
      </w:r>
    </w:p>
    <w:p>
      <w:pPr>
        <w:spacing w:before="0" w:after="0" w:line="360" w:lineRule="auto"/>
        <w:ind w:firstLine="480"/>
        <w:jc w:val="both"/>
      </w:pPr>
      <w:r>
        <w:rPr>
          <w:rFonts w:ascii="Times New Roman" w:hAnsi="Times New Roman" w:eastAsia="宋体"/>
          <w:b w:val="0"/>
          <w:i w:val="0"/>
          <w:color w:val="000000"/>
          <w:sz w:val="24"/>
        </w:rPr>
        <w:t>证据不是在结算或打官司时才去凑，而要嵌入项目管理的每一道工序。按招投标、合同、施工准备、施工过程、收尾、结算、质保七个阶段，提前列好“该留什么、谁来留、何时留、存到哪里”，形成全过程证据清单（见附件12-1主表）。关键动作包括：</w:t>
      </w:r>
    </w:p>
    <w:p>
      <w:pPr>
        <w:pStyle w:val="ListBullet"/>
        <w:spacing w:before="0" w:after="0" w:line="360" w:lineRule="auto"/>
        <w:ind w:firstLine="0" w:left="420"/>
        <w:jc w:val="both"/>
      </w:pPr>
      <w:r>
        <w:rPr>
          <w:rFonts w:ascii="Times New Roman" w:hAnsi="Times New Roman" w:eastAsia="宋体"/>
          <w:b w:val="0"/>
          <w:i w:val="0"/>
          <w:color w:val="000000"/>
          <w:sz w:val="24"/>
        </w:rPr>
        <w:t>凡口头沟通的重要事项，会后用会议纪要或工作联系单书面确认，要求对方签收或回复。</w:t>
      </w:r>
    </w:p>
    <w:p>
      <w:pPr>
        <w:pStyle w:val="ListBullet"/>
        <w:spacing w:before="0" w:after="0" w:line="360" w:lineRule="auto"/>
        <w:ind w:firstLine="0" w:left="420"/>
        <w:jc w:val="both"/>
      </w:pPr>
      <w:r>
        <w:rPr>
          <w:rFonts w:ascii="Times New Roman" w:hAnsi="Times New Roman" w:eastAsia="宋体"/>
          <w:b w:val="0"/>
          <w:i w:val="0"/>
          <w:color w:val="000000"/>
          <w:sz w:val="24"/>
        </w:rPr>
        <w:t>隐蔽工程、材料进场、设计变更、停窝工、第三方干扰等，当场拍照录像（含时间、地点、参照物），并办理签认。</w:t>
      </w:r>
    </w:p>
    <w:p>
      <w:pPr>
        <w:pStyle w:val="ListBullet"/>
        <w:spacing w:before="0" w:after="0" w:line="360" w:lineRule="auto"/>
        <w:ind w:firstLine="0" w:left="420"/>
        <w:jc w:val="both"/>
      </w:pPr>
      <w:r>
        <w:rPr>
          <w:rFonts w:ascii="Times New Roman" w:hAnsi="Times New Roman" w:eastAsia="宋体"/>
          <w:b w:val="0"/>
          <w:i w:val="0"/>
          <w:color w:val="000000"/>
          <w:sz w:val="24"/>
        </w:rPr>
        <w:t>发包人口头指令、监理口头要求，应在24—48小时内发函确认其内容，固定“我方已按要求执行”的事实。</w:t>
      </w:r>
    </w:p>
    <w:p>
      <w:pPr>
        <w:pStyle w:val="ListBullet"/>
        <w:spacing w:before="0" w:after="0" w:line="360" w:lineRule="auto"/>
        <w:ind w:firstLine="0" w:left="420"/>
        <w:jc w:val="both"/>
      </w:pPr>
      <w:r>
        <w:rPr>
          <w:rFonts w:ascii="Times New Roman" w:hAnsi="Times New Roman" w:eastAsia="宋体"/>
          <w:b w:val="0"/>
          <w:i w:val="0"/>
          <w:color w:val="000000"/>
          <w:sz w:val="24"/>
        </w:rPr>
        <w:t>资料随进度同步收集，不搞“资料搬家”式的事后集中补做，避免记录与实体脱节。</w:t>
      </w:r>
    </w:p>
    <w:p>
      <w:pPr>
        <w:pStyle w:val="sec_head"/>
      </w:pPr>
      <w:r>
        <w:t>12.4　原件与复印件管理</w:t>
      </w:r>
    </w:p>
    <w:p>
      <w:pPr>
        <w:spacing w:before="0" w:after="0" w:line="360" w:lineRule="auto"/>
        <w:ind w:firstLine="480"/>
        <w:jc w:val="both"/>
      </w:pPr>
      <w:r>
        <w:rPr>
          <w:rFonts w:ascii="Times New Roman" w:hAnsi="Times New Roman" w:eastAsia="宋体"/>
          <w:b w:val="0"/>
          <w:i w:val="0"/>
          <w:color w:val="000000"/>
          <w:sz w:val="24"/>
        </w:rPr>
        <w:t>原件是证据效力最高的形式，必须建立原件台账并专柜、专卷保管；外借、复印、移交一律登记签收。对外提交对方的，尽量交付复印件并加盖“与原件一致”章，原件留在己方；确需交付原件的，要索取对方盖章的收件回执。电子证据同样要保留原始电子文件和形成痕迹，不得只存打印件。具体保存形式（原件/复印件/电子）见附件12-1主表“保存形式”列。</w:t>
      </w:r>
    </w:p>
    <w:p>
      <w:pPr>
        <w:pStyle w:val="sec_head"/>
      </w:pPr>
      <w:r>
        <w:t>12.5　送达证据：函件如何证明对方已经收到</w:t>
      </w:r>
    </w:p>
    <w:p>
      <w:pPr>
        <w:spacing w:before="0" w:after="0" w:line="360" w:lineRule="auto"/>
        <w:ind w:firstLine="480"/>
        <w:jc w:val="both"/>
      </w:pPr>
      <w:r>
        <w:rPr>
          <w:rFonts w:ascii="Times New Roman" w:hAnsi="Times New Roman" w:eastAsia="宋体"/>
          <w:b w:val="0"/>
          <w:i w:val="0"/>
          <w:color w:val="000000"/>
          <w:sz w:val="24"/>
        </w:rPr>
        <w:t>写了函、发了函，不等于对方“收到了”。很多索赔和时效抗辩失败，不是因为没有函件，而是证明不了函件内容和到达时间。常用、有效的送达方式与操作要点见附件12-1“送达证据”小表，核心要求是：能拿到对方有权签收人的签字，或取得可查询投递轨迹的第三方凭证。</w:t>
      </w:r>
    </w:p>
    <w:p>
      <w:pPr>
        <w:pStyle w:val="ListBullet"/>
        <w:spacing w:before="0" w:after="0" w:line="360" w:lineRule="auto"/>
        <w:ind w:firstLine="0" w:left="420"/>
        <w:jc w:val="both"/>
      </w:pPr>
      <w:r>
        <w:rPr>
          <w:rFonts w:ascii="Times New Roman" w:hAnsi="Times New Roman" w:eastAsia="宋体"/>
          <w:b w:val="0"/>
          <w:i w:val="0"/>
          <w:color w:val="000000"/>
          <w:sz w:val="24"/>
        </w:rPr>
        <w:t>专人送达：由对方项目经理、商务或收发部门在我方留存的函件签收本上签字并注明日期，加盖部门章更佳。</w:t>
      </w:r>
    </w:p>
    <w:p>
      <w:pPr>
        <w:pStyle w:val="ListBullet"/>
        <w:spacing w:before="0" w:after="0" w:line="360" w:lineRule="auto"/>
        <w:ind w:firstLine="0" w:left="420"/>
        <w:jc w:val="both"/>
      </w:pPr>
      <w:r>
        <w:rPr>
          <w:rFonts w:ascii="Times New Roman" w:hAnsi="Times New Roman" w:eastAsia="宋体"/>
          <w:b w:val="0"/>
          <w:i w:val="0"/>
          <w:color w:val="000000"/>
          <w:sz w:val="24"/>
        </w:rPr>
        <w:t>快递送达：使用EMS或正规快递，在详情单“内件品名”处写明函件全称（如“关于某某变更的索赔意向通知”），保留底单、官网投递记录和签收截图，不要只写“资料”“文件”。</w:t>
      </w:r>
    </w:p>
    <w:p>
      <w:pPr>
        <w:pStyle w:val="ListBullet"/>
        <w:spacing w:before="0" w:after="0" w:line="360" w:lineRule="auto"/>
        <w:ind w:firstLine="0" w:left="420"/>
        <w:jc w:val="both"/>
      </w:pPr>
      <w:r>
        <w:rPr>
          <w:rFonts w:ascii="Times New Roman" w:hAnsi="Times New Roman" w:eastAsia="宋体"/>
          <w:b w:val="0"/>
          <w:i w:val="0"/>
          <w:color w:val="000000"/>
          <w:sz w:val="24"/>
        </w:rPr>
        <w:t>系统/电子邮件：通过合同约定的发函平台、指定邮箱发送，保留发送记录、已读回执和原始邮件，不依赖口头告知。</w:t>
      </w:r>
    </w:p>
    <w:p>
      <w:pPr>
        <w:pStyle w:val="ListBullet"/>
        <w:spacing w:before="0" w:after="0" w:line="360" w:lineRule="auto"/>
        <w:ind w:firstLine="0" w:left="420"/>
        <w:jc w:val="both"/>
      </w:pPr>
      <w:r>
        <w:rPr>
          <w:rFonts w:ascii="Times New Roman" w:hAnsi="Times New Roman" w:eastAsia="宋体"/>
          <w:b w:val="0"/>
          <w:i w:val="0"/>
          <w:color w:val="000000"/>
          <w:sz w:val="24"/>
        </w:rPr>
        <w:t>对方拒收或失联时：可采用公证送达、见证留置等方式，并留存过程影像，避免“时效已过却说没收到”。</w:t>
      </w:r>
    </w:p>
    <w:p>
      <w:pPr>
        <w:pStyle w:val="sec_head"/>
      </w:pPr>
      <w:r>
        <w:t>12.6　证据效力等级与常见举证失败</w:t>
      </w:r>
    </w:p>
    <w:p>
      <w:pPr>
        <w:spacing w:before="0" w:after="0" w:line="360" w:lineRule="auto"/>
        <w:ind w:firstLine="480"/>
        <w:jc w:val="both"/>
      </w:pPr>
      <w:r>
        <w:rPr>
          <w:rFonts w:ascii="Times New Roman" w:hAnsi="Times New Roman" w:eastAsia="宋体"/>
          <w:b w:val="0"/>
          <w:i w:val="0"/>
          <w:color w:val="000000"/>
          <w:sz w:val="24"/>
        </w:rPr>
        <w:t>不同证据的证明力不同。一般而言，原件、原始的直接证据高于传来证据和孤证；有对方签认的高于我方单方制作的；多方一致的高于单一渠道的。常见举证失败包括：只有自己记录、没有对方签认；函件发了但无送达凭证；复印件模糊、无法与原件核对；证据之间时间、数量、人物相互矛盾；超过约定或法定时限再主张。证据效力等级判定要点见附件12-1“证据效力等级”小表。</w:t>
      </w:r>
    </w:p>
    <w:p>
      <w:pPr>
        <w:pStyle w:val="sec_head"/>
      </w:pPr>
      <w:r>
        <w:t>12.7　归档责任与移交</w:t>
      </w:r>
    </w:p>
    <w:p>
      <w:pPr>
        <w:spacing w:before="0" w:after="0" w:line="360" w:lineRule="auto"/>
        <w:ind w:firstLine="480"/>
        <w:jc w:val="both"/>
      </w:pPr>
      <w:r>
        <w:rPr>
          <w:rFonts w:ascii="Times New Roman" w:hAnsi="Times New Roman" w:eastAsia="宋体"/>
          <w:b w:val="0"/>
          <w:i w:val="0"/>
          <w:color w:val="000000"/>
          <w:sz w:val="24"/>
        </w:rPr>
        <w:t>项目经理是项目证据归档的第一责任人，各业务口按分工负责本专业资料的形成与初审，项目总工（或技术负责人）负责资料完整性审核，竣工后按档案管理规定向企业档案室移交并办理签收。任何个人不得私自留存、销毁、涂改项目原始资料；人员调离时须办理资料交接。结算和质保期内的资料，要保存到质保责任期满且无争议之后，具体期限以档案管理规定和合同约定为准。</w:t>
      </w:r>
    </w:p>
    <w:p>
      <w:pPr>
        <w:pStyle w:val="attach_div"/>
        <w:pageBreakBefore/>
        <w:jc w:val="center"/>
      </w:pPr>
      <w:r>
        <w:t>第12章　章末附件</w:t>
      </w:r>
    </w:p>
    <w:p>
      <w:pPr>
        <w:spacing w:before="0" w:after="0" w:line="360" w:lineRule="auto"/>
        <w:ind w:firstLine="480"/>
        <w:jc w:val="both"/>
      </w:pPr>
      <w:r>
        <w:rPr>
          <w:rFonts w:ascii="Times New Roman" w:hAnsi="Times New Roman" w:eastAsia="宋体"/>
          <w:b w:val="0"/>
          <w:i w:val="0"/>
          <w:color w:val="000000"/>
          <w:sz w:val="24"/>
        </w:rPr>
        <w:t>本页之后为《证据链：没有证据就没有权利》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35" w:name="_LarkToc00135"/>
      <w:r>
        <w:t>附件12-1　全过程证据清单、效力等级与送达证据表</w:t>
      </w:r>
      <w:bookmarkEnd w:id="135"/>
    </w:p>
    <w:p>
      <w:pPr>
        <w:spacing w:before="0" w:after="40" w:line="312" w:lineRule="auto"/>
        <w:ind w:firstLine="0"/>
        <w:jc w:val="left"/>
      </w:pPr>
      <w:r>
        <w:rPr>
          <w:rFonts w:ascii="Times New Roman" w:hAnsi="Times New Roman" w:eastAsia="宋体"/>
          <w:b w:val="0"/>
          <w:i w:val="0"/>
          <w:color w:val="595959"/>
          <w:sz w:val="18"/>
        </w:rPr>
        <w:t>【归属】第12章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项目阶段对照本清单逐项落实“该留什么、谁来留、何时留、存到哪里”；证据随进度同步形成，原件专柜保管，对外发函同时固定送达凭证。主表中标注“（示例）”的行仅为填写示范，使用时删除。</w:t>
      </w:r>
    </w:p>
    <w:p>
      <w:pPr>
        <w:keepNext/>
        <w:spacing w:before="80" w:after="40" w:line="288" w:lineRule="auto"/>
        <w:ind w:firstLine="0"/>
        <w:jc w:val="center"/>
      </w:pPr>
      <w:r>
        <w:rPr>
          <w:rFonts w:ascii="Times New Roman" w:hAnsi="Times New Roman" w:eastAsia="黑体"/>
          <w:b/>
          <w:i w:val="0"/>
          <w:color w:val="000000"/>
          <w:sz w:val="21"/>
        </w:rPr>
        <w:t>表12-1　全过程证据清单与归档责任表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阶段</w:t>
            </w:r>
          </w:p>
        </w:tc>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证据名称</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形成时点</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保存形式（原件/复印件/电子）</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归档位置</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份数</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招投标</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（示例）招标文件及补遗、答疑纪要</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投标前/答疑期</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原件+电子</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招投标卷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招投标</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投标文件（商务、技术）及递交/上传回执</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投标截止前</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投标专员</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电子原件</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招投标卷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招投标</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中标通知书、投标保证金缴纳与退还凭证</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中标后/签约后</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商务、财务</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原件+电子</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招投标卷/财务卷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合同</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施工合同及补充协议（双方盖章原件）</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签约时</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正副本</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合同</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合同交底记录、授权委托书</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开工前</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项目总工</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准备</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施工许可证、开工报告及开工令</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开工前</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项目总工</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复印件+电子</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施工管理卷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准备</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图纸会审记录、设计交底纪要</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开工前</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原件签认</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准备</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施工组织设计及审批、监理审查意见</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开工前</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项目总工</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施组方案卷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往来函件（工作联系单、签证、索赔意向）及送达凭证</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事项发生时</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原件+送达凭证</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往来函件卷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监理例会、专题会议纪要及签认</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例会当日</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项目总工</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原件签认</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会议纪要卷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隐蔽工程验收记录及影像资料</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隐蔽覆盖前</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质检/监理</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原件+影像电子</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材料设备进场报验、合格证、检测报告</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进场时</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材料员/试验员</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原件或盖供货商章复印件</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物资质量卷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设计变更、技术核定单、现场签证</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变更发生时</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技术/商务</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原件签认</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变更签证卷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收尾</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14</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竣工验收报告、各方验收记录</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竣工时</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项目总工</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竣工验收卷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收尾</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15</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竣工图（加盖竣工图章）</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竣工时</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竣工图卷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按约定</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收尾</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16</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工程交接记录、工程移交证书</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移交时</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原件签认</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竣工验收卷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结算</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17</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结算书及编审、核对资料</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结算阶段</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结算</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18</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变更签证、索赔审批与答复资料</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事件发生/索赔期内</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变更签证卷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结算</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19</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工程款支付明细、收款凭证及发票</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收付时</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原件+电子</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财务卷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质保</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缺陷责任期维修通知、回复及维修记录</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质保期内</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项目总工</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原件+送达凭证</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质保卷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质保</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质保金返还申请、审批及到账凭证</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缺陷责任期满</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财务/商务</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质保卷/财务卷</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Pr>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质保</w:t>
            </w:r>
          </w:p>
        </w:tc>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22</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保修期满、责任终止证明</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保修期满</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原件签认</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质保卷</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注：本表为全过程证据归集的最低清单，项目可按合同专用条款和地方档案要求增补；标注“（示例）”的行用后删除。凡对外发函，须同时留存函件原件与送达凭证（见下表）。</w:t>
      </w:r>
    </w:p>
    <w:p>
      <w:pPr>
        <w:spacing w:before="0" w:after="0" w:line="360" w:lineRule="auto"/>
        <w:ind w:firstLine="480"/>
        <w:jc w:val="both"/>
      </w:pPr>
      <w:r>
        <w:rPr>
          <w:rFonts w:ascii="Times New Roman" w:hAnsi="Times New Roman" w:eastAsia="宋体"/>
          <w:b w:val="0"/>
          <w:i w:val="0"/>
          <w:color w:val="000000"/>
          <w:sz w:val="24"/>
        </w:rPr>
        <w:t>附一：证据效力等级对照。判断一份材料在争议或诉讼中能否被采信，先看其效力层级。</w:t>
      </w:r>
    </w:p>
    <w:p>
      <w:pPr>
        <w:keepNext/>
        <w:spacing w:before="80" w:after="40" w:line="288" w:lineRule="auto"/>
        <w:ind w:firstLine="0"/>
        <w:jc w:val="center"/>
      </w:pPr>
      <w:r>
        <w:rPr>
          <w:rFonts w:ascii="Times New Roman" w:hAnsi="Times New Roman" w:eastAsia="黑体"/>
          <w:b/>
          <w:i w:val="0"/>
          <w:color w:val="000000"/>
          <w:sz w:val="21"/>
        </w:rPr>
        <w:t>表12-2　证据效力等级与判定要点</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等级</w:t>
            </w:r>
          </w:p>
        </w:tc>
        <w:tc>
          <w:tcPr>
            <w:tcW w:type="dxa" w:w="36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判定要点</w:t>
            </w:r>
          </w:p>
        </w:tc>
        <w:tc>
          <w:tcPr>
            <w:tcW w:type="dxa" w:w="30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举例</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一级（最高）</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原件、原始形成、直接证明待证事实，且有对方签认</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双方盖章的合同、签认的签证、盖骑缝章的会议纪要</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二级</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原件或与原件核对无误的复印件、电子原件，能与其他证据相互印证</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加盖“与原件一致”章的合同复印件、带电子签章的往来函</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三级</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传来证据、间接证据，需与其他证据形成链条</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我方单方制作的台账、照片、转述性记录</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四级（最弱）</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孤证、无原件核对、来源不清、前后矛盾</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无对方签认的单方记录、模糊无法核对的复印件</w:t>
            </w:r>
          </w:p>
        </w:tc>
      </w:tr>
    </w:tbl>
    <w:p>
      <w:pPr>
        <w:spacing w:before="20" w:after="80" w:line="288" w:lineRule="auto"/>
        <w:ind w:firstLine="0"/>
        <w:jc w:val="left"/>
      </w:pPr>
      <w:r>
        <w:rPr>
          <w:rFonts w:ascii="Times New Roman" w:hAnsi="Times New Roman" w:eastAsia="宋体"/>
          <w:b w:val="0"/>
          <w:i w:val="0"/>
          <w:color w:val="404040"/>
          <w:sz w:val="18"/>
        </w:rPr>
        <w:t>注：以上为一般判断要点，不构成对具体法律条文的引用；证据可否采信以仲裁、诉讼程序和现行证据规则为准。</w:t>
      </w:r>
    </w:p>
    <w:p>
      <w:pPr>
        <w:spacing w:before="0" w:after="0" w:line="360" w:lineRule="auto"/>
        <w:ind w:firstLine="480"/>
        <w:jc w:val="both"/>
      </w:pPr>
      <w:r>
        <w:rPr>
          <w:rFonts w:ascii="Times New Roman" w:hAnsi="Times New Roman" w:eastAsia="宋体"/>
          <w:b w:val="0"/>
          <w:i w:val="0"/>
          <w:color w:val="000000"/>
          <w:sz w:val="24"/>
        </w:rPr>
        <w:t>附二：送达证据操作要点。凡需向建设、监理、分包等对方送达的函件，按下表选择方式并固定凭证。</w:t>
      </w:r>
    </w:p>
    <w:p>
      <w:pPr>
        <w:keepNext/>
        <w:spacing w:before="80" w:after="40" w:line="288" w:lineRule="auto"/>
        <w:ind w:firstLine="0"/>
        <w:jc w:val="center"/>
      </w:pPr>
      <w:r>
        <w:rPr>
          <w:rFonts w:ascii="Times New Roman" w:hAnsi="Times New Roman" w:eastAsia="黑体"/>
          <w:b/>
          <w:i w:val="0"/>
          <w:color w:val="000000"/>
          <w:sz w:val="21"/>
        </w:rPr>
        <w:t>表12-3　送达方式与证据留存要点</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送达方式</w:t>
            </w:r>
          </w:p>
        </w:tc>
        <w:tc>
          <w:tcPr>
            <w:tcW w:type="dxa" w:w="374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操作要点</w:t>
            </w:r>
          </w:p>
        </w:tc>
        <w:tc>
          <w:tcPr>
            <w:tcW w:type="dxa" w:w="272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证据留存</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专人签收</w:t>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送交对方有权签收人，在我方签收本上签字、注明日期</w:t>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签收回执原件、签收人姓名职务</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EMS/正规快递</w:t>
            </w:r>
          </w:p>
        </w:tc>
        <w:tc>
          <w:tcPr>
            <w:tcW w:type="dxa" w:w="374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详情单“内件品名”写明函件全称，不留笼统字样</w:t>
            </w:r>
          </w:p>
        </w:tc>
        <w:tc>
          <w:tcPr>
            <w:tcW w:type="dxa" w:w="272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快递底单、官网投递轨迹、签收截图</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合同约定系统/邮件</w:t>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通过约定平台、指定邮箱发送，保留已读回执</w:t>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发送记录、原始邮件、系统导出记录</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公证/见证留置</w:t>
            </w:r>
          </w:p>
        </w:tc>
        <w:tc>
          <w:tcPr>
            <w:tcW w:type="dxa" w:w="374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对方拒收或失联时，邀请公证或第三方见证后留置</w:t>
            </w:r>
          </w:p>
        </w:tc>
        <w:tc>
          <w:tcPr>
            <w:tcW w:type="dxa" w:w="272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公证书、见证记录、过程影像</w:t>
            </w:r>
          </w:p>
        </w:tc>
      </w:tr>
    </w:tbl>
    <w:p>
      <w:pPr>
        <w:spacing w:before="20" w:after="80" w:line="288" w:lineRule="auto"/>
        <w:ind w:firstLine="0"/>
        <w:jc w:val="left"/>
      </w:pPr>
      <w:r>
        <w:rPr>
          <w:rFonts w:ascii="Times New Roman" w:hAnsi="Times New Roman" w:eastAsia="宋体"/>
          <w:b w:val="0"/>
          <w:i w:val="0"/>
          <w:color w:val="404040"/>
          <w:sz w:val="18"/>
        </w:rPr>
        <w:t>注：送达时间往往决定索赔、异议、时效是否成立，函件内容与送达凭证应一一对应编号；具体送达效力以合同约定和现行法律规定为准。</w:t>
      </w:r>
    </w:p>
    <w:p>
      <w:pPr>
        <w:pStyle w:val="Heading3"/>
        <w:pageBreakBefore/>
        <w:spacing w:before="120"/>
      </w:pPr>
      <w:bookmarkStart w:id="136" w:name="_LarkToc00136"/>
      <w:r>
        <w:t>附件12-2　电子证据固化与公证指引表</w:t>
      </w:r>
      <w:bookmarkEnd w:id="136"/>
    </w:p>
    <w:p>
      <w:pPr>
        <w:spacing w:before="0" w:after="40" w:line="312" w:lineRule="auto"/>
        <w:ind w:firstLine="0"/>
        <w:jc w:val="left"/>
      </w:pPr>
      <w:r>
        <w:rPr>
          <w:rFonts w:ascii="Times New Roman" w:hAnsi="Times New Roman" w:eastAsia="宋体"/>
          <w:b w:val="0"/>
          <w:i w:val="0"/>
          <w:color w:val="595959"/>
          <w:sz w:val="18"/>
        </w:rPr>
        <w:t>【归属】第12章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【用途】对微信、短信、邮件、监控、系统记录、电子签名等电子证据，按本表固化留存；重大争议或关键节点及时办理保全证据公证或可信时间戳。标注“（示例）”的行用后删除。</w:t>
      </w:r>
    </w:p>
    <w:p>
      <w:pPr>
        <w:keepNext/>
        <w:spacing w:before="80" w:after="40" w:line="288" w:lineRule="auto"/>
        <w:ind w:firstLine="0"/>
        <w:jc w:val="center"/>
      </w:pPr>
      <w:r>
        <w:rPr>
          <w:rFonts w:ascii="Times New Roman" w:hAnsi="Times New Roman" w:eastAsia="黑体"/>
          <w:b/>
          <w:i w:val="0"/>
          <w:color w:val="000000"/>
          <w:sz w:val="21"/>
        </w:rPr>
        <w:t>表12-4　电子证据类型、易失真点与固化指引表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电子证据类型</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易失真点</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固化方式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是否需公证</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操作要点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留存位置</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（示例）微信／即时通讯聊天记录</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记录易删除、手机丢失或换机；截图可被质疑篡改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保留原始手机不删除；完整截图（含对方头像昵称、时间、连续上下文）；必要时全程录屏并保留原始载体</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重大争议建议公证</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展示对方账号实名信息、连续对话不裁剪；导出聊天记录备份</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原始手机＋电子证据卷</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短信记录</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换机、清理软件删除；号码与本人对应关系难证明</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保留原始手机；截图含收发号码、时间、完整内容；必要时调取运营商详单</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大额或关键节点建议公证</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及时截屏、不删除原信息；关联号码实名信息</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原始手机＋往来函件卷</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电子邮件</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邮箱注销、服务器清理；转发件证明力弱</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保留原始邮件（含完整页眉、收发件人、时间戳）；导出EML原件；不依赖转发截图</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重要函件建议公证或可信时间戳</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用合同约定邮箱发送；保留已发送和已读回执</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邮件系统＋电子档案卷</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现场监控／录像</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覆盖周期短易被覆盖；剪辑后失真</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及时导出原始视频（含时间水印）；记录摄像头位置与覆盖范围；关键部位长期保存</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重大事故或纠纷建议公证</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不剪辑、不转换格式；注明导出人、时间</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原始硬盘／光盘＋影像资料卷</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项目管理系统／审批记录</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账号权限变更、系统升级迁移；登录人身份难固定</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导出后台操作日志（含操作人、时间、IP）；必要时申请系统方出具说明或界面录屏</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重大争议建议公证</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用实名账号操作；保留系统权限审批记录</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系统导出件＋技术卷</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电子签名／电子签章文件</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签署后被改动、签名真伪争议</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保留带可信时间戳和证书链的原始签署文件；通过签约平台验签并导出报告</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关键合同建议平台存证或公证</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不拆改文件；保留签署过程日志和验签结果</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电子签约平台存证＋合同卷</w:t>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电子证据应优先保留原始载体和原始电子文件，截图、打印件仅作辅助；是否办理保全证据公证，由法务结合争议金额和风险判断。标注“（示例）”的行用后删除；具体以现行证据规则、公证程序及合同约定为准。</w:t>
      </w:r>
    </w:p>
    <w:p>
      <w:pPr>
        <w:pStyle w:val="Heading2"/>
        <w:pageBreakBefore/>
      </w:pPr>
      <w:bookmarkStart w:id="16" w:name="_LarkToc00016"/>
      <w:r>
        <w:t>第13章　台账与时效：过期失权的生命线</w:t>
      </w:r>
      <w:bookmarkEnd w:id="16"/>
    </w:p>
    <w:p>
      <w:pPr>
        <w:pStyle w:val="sec_head"/>
      </w:pPr>
      <w:r>
        <w:t>13.1　台账是项目的“账本和记忆”</w:t>
      </w:r>
    </w:p>
    <w:p>
      <w:pPr>
        <w:spacing w:before="0" w:after="0" w:line="360" w:lineRule="auto"/>
        <w:ind w:firstLine="480"/>
        <w:jc w:val="both"/>
      </w:pPr>
      <w:r>
        <w:rPr>
          <w:rFonts w:ascii="Times New Roman" w:hAnsi="Times New Roman" w:eastAsia="宋体"/>
          <w:b w:val="0"/>
          <w:i w:val="0"/>
          <w:color w:val="000000"/>
          <w:sz w:val="24"/>
        </w:rPr>
        <w:t>打仗要靠地图和战报，管项目要靠台账。台账不是给检查看的摆设，而是项目的“账本和记忆”：合同签了什么、变更办了多少、计量回了多少款、工资发没发、保证金退没退，全在台账里。毛泽东同志强调“胸中有数”，对情况和问题一定要注意到它们的数量方面，要有基本的数量的分析。台账就是让项目经理和公司随时“胸中有数”的工具。台账不清，决策就是拍脑袋；台账失真，比没有台账更危险。</w:t>
      </w:r>
    </w:p>
    <w:p>
      <w:pPr>
        <w:pStyle w:val="sec_head"/>
      </w:pPr>
      <w:r>
        <w:t>13.2　时效是“过期失权的生命线”</w:t>
      </w:r>
    </w:p>
    <w:p>
      <w:pPr>
        <w:spacing w:before="0" w:after="0" w:line="360" w:lineRule="auto"/>
        <w:ind w:firstLine="480"/>
        <w:jc w:val="both"/>
      </w:pPr>
      <w:r>
        <w:rPr>
          <w:rFonts w:ascii="Times New Roman" w:hAnsi="Times New Roman" w:eastAsia="宋体"/>
          <w:b w:val="0"/>
          <w:i w:val="0"/>
          <w:color w:val="000000"/>
          <w:sz w:val="24"/>
        </w:rPr>
        <w:t>很多权利不是对方不给，而是自己过期没用。索赔意向通知超期、质保金该退没主张、优先受偿权超期、保证金该退没跟踪，结果就是“有理也失权”。因此要把时效当成生命线：凡有期限的事项，一律建台账、设提醒、留痕办理。关键法定与约定时效见附件13-2，起算点和后果必须逐一登记，到期前提前预警，绝不允许“忘了、等下次再说”。</w:t>
      </w:r>
    </w:p>
    <w:p>
      <w:pPr>
        <w:spacing w:before="20" w:after="80" w:line="288" w:lineRule="auto"/>
        <w:ind w:firstLine="0"/>
        <w:jc w:val="left"/>
      </w:pPr>
      <w:r>
        <w:rPr>
          <w:rFonts w:ascii="Times New Roman" w:hAnsi="Times New Roman" w:eastAsia="宋体"/>
          <w:b w:val="0"/>
          <w:i w:val="0"/>
          <w:color w:val="404040"/>
          <w:sz w:val="18"/>
        </w:rPr>
        <w:t>依据：《建设工程施工合同（示范文本）》GF-2017-0201索赔时效；《招标投标法实施条例》（国务院令第709号）；《保障农民工工资支付条例》（国务院令第724号）；最高人民法院建设工程施工合同纠纷司法解释（一）（法释〔2020〕25号）等，详见附件13-2。</w:t>
      </w:r>
    </w:p>
    <w:p>
      <w:pPr>
        <w:pStyle w:val="sec_head"/>
      </w:pPr>
      <w:r>
        <w:t>13.3　台账怎么建、怎么记</w:t>
      </w:r>
    </w:p>
    <w:p>
      <w:pPr>
        <w:spacing w:before="0" w:after="0" w:line="360" w:lineRule="auto"/>
        <w:ind w:firstLine="480"/>
        <w:jc w:val="both"/>
      </w:pPr>
      <w:r>
        <w:rPr>
          <w:rFonts w:ascii="Times New Roman" w:hAnsi="Times New Roman" w:eastAsia="宋体"/>
          <w:b w:val="0"/>
          <w:i w:val="0"/>
          <w:color w:val="000000"/>
          <w:sz w:val="24"/>
        </w:rPr>
        <w:t>台账要解决“谁记、何时记、记什么、怎么核对”四个问题。统一要求如下：</w:t>
      </w:r>
    </w:p>
    <w:p>
      <w:pPr>
        <w:pStyle w:val="ListBullet"/>
        <w:spacing w:before="0" w:after="0" w:line="360" w:lineRule="auto"/>
        <w:ind w:firstLine="0" w:left="420"/>
        <w:jc w:val="both"/>
      </w:pPr>
      <w:r>
        <w:rPr>
          <w:rFonts w:ascii="Times New Roman" w:hAnsi="Times New Roman" w:eastAsia="宋体"/>
          <w:b w:val="0"/>
          <w:i w:val="0"/>
          <w:color w:val="000000"/>
          <w:sz w:val="24"/>
        </w:rPr>
        <w:t>谁记：按业务口分工，合同、计量、资金、工资、材料、分包、安全、质量、资料、印章、往来函件各有责任人，项目经理每月复核。</w:t>
      </w:r>
    </w:p>
    <w:p>
      <w:pPr>
        <w:pStyle w:val="ListBullet"/>
        <w:spacing w:before="0" w:after="0" w:line="360" w:lineRule="auto"/>
        <w:ind w:firstLine="0" w:left="420"/>
        <w:jc w:val="both"/>
      </w:pPr>
      <w:r>
        <w:rPr>
          <w:rFonts w:ascii="Times New Roman" w:hAnsi="Times New Roman" w:eastAsia="宋体"/>
          <w:b w:val="0"/>
          <w:i w:val="0"/>
          <w:color w:val="000000"/>
          <w:sz w:val="24"/>
        </w:rPr>
        <w:t>何时记：业务发生当日或三个工作日内登记，做到日清月结；不得集中“补台账”。</w:t>
      </w:r>
    </w:p>
    <w:p>
      <w:pPr>
        <w:pStyle w:val="ListBullet"/>
        <w:spacing w:before="0" w:after="0" w:line="360" w:lineRule="auto"/>
        <w:ind w:firstLine="0" w:left="420"/>
        <w:jc w:val="both"/>
      </w:pPr>
      <w:r>
        <w:rPr>
          <w:rFonts w:ascii="Times New Roman" w:hAnsi="Times New Roman" w:eastAsia="宋体"/>
          <w:b w:val="0"/>
          <w:i w:val="0"/>
          <w:color w:val="000000"/>
          <w:sz w:val="24"/>
        </w:rPr>
        <w:t>记什么：登记事项的时间、金额、对方、凭证编号、当前状态、下一步期限，能关联到原始凭证编号。</w:t>
      </w:r>
    </w:p>
    <w:p>
      <w:pPr>
        <w:pStyle w:val="ListBullet"/>
        <w:spacing w:before="0" w:after="0" w:line="360" w:lineRule="auto"/>
        <w:ind w:firstLine="0" w:left="420"/>
        <w:jc w:val="both"/>
      </w:pPr>
      <w:r>
        <w:rPr>
          <w:rFonts w:ascii="Times New Roman" w:hAnsi="Times New Roman" w:eastAsia="宋体"/>
          <w:b w:val="0"/>
          <w:i w:val="0"/>
          <w:color w:val="000000"/>
          <w:sz w:val="24"/>
        </w:rPr>
        <w:t>账实相符：每月末与银行流水、发票、合同、实际收付款核对一次，发现差异当月查清并调整，调整留痕。</w:t>
      </w:r>
    </w:p>
    <w:p>
      <w:pPr>
        <w:pStyle w:val="sec_head"/>
      </w:pPr>
      <w:r>
        <w:t>13.4　关键时效的日历化与预警</w:t>
      </w:r>
    </w:p>
    <w:p>
      <w:pPr>
        <w:spacing w:before="0" w:after="0" w:line="360" w:lineRule="auto"/>
        <w:ind w:firstLine="480"/>
        <w:jc w:val="both"/>
      </w:pPr>
      <w:r>
        <w:rPr>
          <w:rFonts w:ascii="Times New Roman" w:hAnsi="Times New Roman" w:eastAsia="宋体"/>
          <w:b w:val="0"/>
          <w:i w:val="0"/>
          <w:color w:val="000000"/>
          <w:sz w:val="24"/>
        </w:rPr>
        <w:t>把附件13-2中的期限逐笔落到项目日历上，建立“到期前提醒”机制：到期前30日、15日、7日三级提醒责任人，到期前必须完成发函、申报、催告或主张，并在台账中记录办理结果和凭证编号。电子台账可设置自动预警；纸质台账由专人每月对照检查。凡逾期事项，立即升级报告项目经理和公司，评估能否补救，并保留已在期限内主张的证据。</w:t>
      </w:r>
    </w:p>
    <w:p>
      <w:pPr>
        <w:pStyle w:val="sec_head"/>
      </w:pPr>
      <w:r>
        <w:t>13.5　电子与纸质台账并行</w:t>
      </w:r>
    </w:p>
    <w:p>
      <w:pPr>
        <w:spacing w:before="0" w:after="0" w:line="360" w:lineRule="auto"/>
        <w:ind w:firstLine="480"/>
        <w:jc w:val="both"/>
      </w:pPr>
      <w:r>
        <w:rPr>
          <w:rFonts w:ascii="Times New Roman" w:hAnsi="Times New Roman" w:eastAsia="宋体"/>
          <w:b w:val="0"/>
          <w:i w:val="0"/>
          <w:color w:val="000000"/>
          <w:sz w:val="24"/>
        </w:rPr>
        <w:t>鼓励用信息系统、电子表格登记台账，但重要合同、资金、索赔、时效类台账应同时保留纸质或可归档电子件，并定期备份、防止单点丢失。电子台账的修改要留痕（修改人、时间、内容），不得随意删改历史记录；打印归档的版本与系统数据要一致。</w:t>
      </w:r>
    </w:p>
    <w:p>
      <w:pPr>
        <w:pStyle w:val="sec_head"/>
      </w:pPr>
      <w:r>
        <w:t>13.6　台账丢失补记的禁忌</w:t>
      </w:r>
    </w:p>
    <w:p>
      <w:pPr>
        <w:spacing w:before="0" w:after="0" w:line="360" w:lineRule="auto"/>
        <w:ind w:firstLine="480"/>
        <w:jc w:val="both"/>
      </w:pPr>
      <w:r>
        <w:rPr>
          <w:rFonts w:ascii="Times New Roman" w:hAnsi="Times New Roman" w:eastAsia="宋体"/>
          <w:b w:val="0"/>
          <w:i w:val="0"/>
          <w:color w:val="000000"/>
          <w:sz w:val="24"/>
        </w:rPr>
        <w:t>台账一旦丢失或损坏，应立即报告，依据原始凭证（合同、收据、银行回单、签认单、往来函件）如实重建，并注明“据原始凭证补记”和补记日期、补记人。严禁以下做法：凭空臆造数据、倒签日期、伪造签字、把尚未发生的事项提前登记、为应付检查而补造与事实不符的记录。补记台账只能还原事实，不能制造事实；拿不准的数据宁可留空，也不得编造。</w:t>
      </w:r>
    </w:p>
    <w:p>
      <w:pPr>
        <w:pStyle w:val="attach_div"/>
        <w:pageBreakBefore/>
        <w:jc w:val="center"/>
      </w:pPr>
      <w:r>
        <w:t>第13章　章末附件</w:t>
      </w:r>
    </w:p>
    <w:p>
      <w:pPr>
        <w:spacing w:before="0" w:after="0" w:line="360" w:lineRule="auto"/>
        <w:ind w:firstLine="480"/>
        <w:jc w:val="both"/>
      </w:pPr>
      <w:r>
        <w:rPr>
          <w:rFonts w:ascii="Times New Roman" w:hAnsi="Times New Roman" w:eastAsia="宋体"/>
          <w:b w:val="0"/>
          <w:i w:val="0"/>
          <w:color w:val="000000"/>
          <w:sz w:val="24"/>
        </w:rPr>
        <w:t>本页之后为《台账与时效：过期失权的生命线》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37" w:name="_LarkToc00137"/>
      <w:r>
        <w:t>附件13-1　项目台账总目录</w:t>
      </w:r>
      <w:bookmarkEnd w:id="137"/>
    </w:p>
    <w:p>
      <w:pPr>
        <w:spacing w:before="0" w:after="40" w:line="312" w:lineRule="auto"/>
        <w:ind w:firstLine="0"/>
        <w:jc w:val="left"/>
      </w:pPr>
      <w:r>
        <w:rPr>
          <w:rFonts w:ascii="Times New Roman" w:hAnsi="Times New Roman" w:eastAsia="宋体"/>
          <w:b w:val="0"/>
          <w:i w:val="0"/>
          <w:color w:val="595959"/>
          <w:sz w:val="18"/>
        </w:rPr>
        <w:t>【归属】第13章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【用途】由项目经理组织，按本表明确每类台账的责任人、更新频率和关联凭证，做到一类台账一名责任人、日清月结、账实相符。标注“（示例）”的行用后删除，可按项目实际增补。</w:t>
      </w:r>
    </w:p>
    <w:p>
      <w:pPr>
        <w:keepNext/>
        <w:spacing w:before="80" w:after="40" w:line="288" w:lineRule="auto"/>
        <w:ind w:firstLine="0"/>
        <w:jc w:val="center"/>
      </w:pPr>
      <w:r>
        <w:rPr>
          <w:rFonts w:ascii="Times New Roman" w:hAnsi="Times New Roman" w:eastAsia="黑体"/>
          <w:b/>
          <w:i w:val="0"/>
          <w:color w:val="000000"/>
          <w:sz w:val="21"/>
        </w:rPr>
        <w:t>表13-1　项目台账总目录</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台账名称</w:t>
            </w:r>
          </w:p>
        </w:tc>
        <w:tc>
          <w:tcPr>
            <w:tcW w:type="dxa" w:w="209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主要登记内容</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更新频率</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关联附件/系统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用途</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（示例）合同台账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合同名称、对方、价款、付款节点、签订日期</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签订即登、变更即更</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合同卷/合同管理系统</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掌握合同权利义务</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变更签证台账</w:t>
            </w:r>
          </w:p>
        </w:tc>
        <w:tc>
          <w:tcPr>
            <w:tcW w:type="dxa" w:w="209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签证编号、内容、工程量、金额、审批状态、日期</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发生即登</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变更签证卷</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结算与索赔依据</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索赔台账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索赔事项、意向/报告日期、金额、对方答复、时效状态</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发生即登</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往来函件卷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防止超期失权</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计量与回款台账</w:t>
            </w:r>
          </w:p>
        </w:tc>
        <w:tc>
          <w:tcPr>
            <w:tcW w:type="dxa" w:w="209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已完工程量、申报量、审核量、本期/累计回款、欠款</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商务/财务</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按月</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计量单/财务系统</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掌握回款与欠款</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资金收支计划台账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月周收支计划、实际发生、缺口、弥补措施</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财务负责人</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周更、月结</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资金系统</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现金流管理</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农民工工资台账</w:t>
            </w:r>
          </w:p>
        </w:tc>
        <w:tc>
          <w:tcPr>
            <w:tcW w:type="dxa" w:w="209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用工名册、考勤、代发金额、专户余额、公示情况</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劳资专管员</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按月</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工资专户/实名制系统</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防欠薪、合规</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发票台账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收/开发票号码、金额、税率、抬头、抵扣状态</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财务负责人</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开具即登</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税务系统</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税务合规</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材料进场台账</w:t>
            </w:r>
          </w:p>
        </w:tc>
        <w:tc>
          <w:tcPr>
            <w:tcW w:type="dxa" w:w="209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品名、规格、数量、单价、供应商、报验、合格证</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材料员</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进场即登</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物资系统</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成本与质量追溯</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分包结算付款台账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分包合同、已完量、已付款、代付工资、扣质保</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按月</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分包合同卷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控分包成本</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机械设备台账</w:t>
            </w:r>
          </w:p>
        </w:tc>
        <w:tc>
          <w:tcPr>
            <w:tcW w:type="dxa" w:w="209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设备名称、租赁/自有、台班、费用、检测验收</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机械管理员</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按月</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设备卷</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机械费管控</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安全管理台账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检查、隐患整改、教育、危大、安全费使用</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安全总监</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随发生更新</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安全合规</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质量管理台账</w:t>
            </w:r>
          </w:p>
        </w:tc>
        <w:tc>
          <w:tcPr>
            <w:tcW w:type="dxa" w:w="209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检验批验收、质量问题、整改、材料检测</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质检负责人</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随验收更新</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质量卷</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质量追溯</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13</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工程资料台账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资料编号、名称、形成日期、签认状态、归档位置</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资料员</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同步</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档案系统</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竣工归档</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14</w:t>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印章使用台账</w:t>
            </w:r>
          </w:p>
        </w:tc>
        <w:tc>
          <w:tcPr>
            <w:tcW w:type="dxa" w:w="209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用印事由、文件名称、审批人、用印日期、份数</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综合办</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用印即登</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印章管理</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控用印风险</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15</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往来函件台账</w:t>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函件编号、事由、发出/收到日期、送达凭证、回复</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资料员/商务</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发出即登</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往来函件卷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时效与送达证据</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9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注：各台账责任人每月末核对账实，修改留痕；标注“（示例）”的行用后删除。</w:t>
      </w:r>
    </w:p>
    <w:p>
      <w:pPr>
        <w:pStyle w:val="Heading3"/>
        <w:pageBreakBefore/>
        <w:spacing w:before="120"/>
      </w:pPr>
      <w:bookmarkStart w:id="138" w:name="_LarkToc00138"/>
      <w:r>
        <w:t>附件13-2　关键时效与期限一览表</w:t>
      </w:r>
      <w:bookmarkEnd w:id="138"/>
    </w:p>
    <w:p>
      <w:pPr>
        <w:spacing w:before="0" w:after="40" w:line="312" w:lineRule="auto"/>
        <w:ind w:firstLine="0"/>
        <w:jc w:val="left"/>
      </w:pPr>
      <w:r>
        <w:rPr>
          <w:rFonts w:ascii="Times New Roman" w:hAnsi="Times New Roman" w:eastAsia="宋体"/>
          <w:b w:val="0"/>
          <w:i w:val="0"/>
          <w:color w:val="595959"/>
          <w:sz w:val="18"/>
        </w:rPr>
        <w:t>【归属】第13章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【用途】逐笔登记到项目日历并设置到期前30/15/7日预警；凡表列期限，到期前必须完成主张或办理并留痕。本表数值已与现行法规核对，各地及合同专用条款可能更严，以现行规定和合同为准。</w:t>
      </w:r>
    </w:p>
    <w:p>
      <w:pPr>
        <w:keepNext/>
        <w:spacing w:before="80" w:after="40" w:line="288" w:lineRule="auto"/>
        <w:ind w:firstLine="0"/>
        <w:jc w:val="center"/>
      </w:pPr>
      <w:r>
        <w:rPr>
          <w:rFonts w:ascii="Times New Roman" w:hAnsi="Times New Roman" w:eastAsia="黑体"/>
          <w:b/>
          <w:i w:val="0"/>
          <w:color w:val="000000"/>
          <w:sz w:val="21"/>
        </w:rPr>
        <w:t>表13-2　关键法定与约定时效期限一览表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事项</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法定/约定标准（具体数字）</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起算点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到期后果</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依据（文号/条款）</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投标保证金比例</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不得超过招标项目估算价的2%</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投标时</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超标部分无效、违规处罚</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国务院令第709号第26条</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投标保证金及利息退还</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书面合同签订后5日内退还，并付同期存款利息</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合同签订之日</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逾期退还占用利息、投诉处罚</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国务院令第709号第57条</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履约保证金比例</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不得超过中标合同金额的10%</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签约提交时</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超标无效</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国务院令第709号第58条</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索赔意向通知</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知道或应当知道索赔事件后28天内递交意向通知</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知道或应知事件之日</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逾期丧失索赔权利</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GF-2017-0201</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索赔正式报告</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递交意向通知后28天内递交索赔报告及资料</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递交意向通知之日</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该项索赔难以获支持</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GF-2017-0201</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事故内部上报</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现场人员立即报告，单位负责人接报后1小时内上报</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接报之时</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迟报瞒报追责、从重处罚</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国务院令第493号第9条</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逐级上报时限</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每级上报时间不超过2小时</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接报之日</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迟报追责</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国务院令第493号第11条</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工资专户注销</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工程完工并公示满30日后，可申请注销专户</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完工公示之日</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违规注销、专户资金风险</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国务院令第724号第27条</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工程价款优先受偿权</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最长18个月；不及于利息、违约金、损害赔偿金</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应付工程款之日</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超期优先权消灭</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法释〔2020〕25号第41条</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质量保证金比例</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不得超过工程价款结算总额的3%</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结算时</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超标无效</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缺陷责任期</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一般为1年，最长不超过2年</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工程通过竣工验收之日</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超期应返还质保金</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质保金返还（未约定）</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未约定返还期限的，竣工验收满2年返还</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竣工验收合格之日</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逾期返还及利息</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法释〔2020〕25号第17条</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13</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未经验收擅自使用</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发包人原因未验收的，承包人提交验收报告90日后起算</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提交验收报告之日</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起算缺陷责任期</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最低保修期</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地基基础与主体结构为设计文件规定的合理使用年限；防水及有防水要求房间、外墙防渗漏5年；供热与供冷为2个采暖期、供冷期；电气管线、给排水、设备安装、装修2年</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竣工验收合格之日</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保修期内免费维修、责任赔偿</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国务院令第714号第40条</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15</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施工噪声排放</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场界昼间70dB(A)、夜间55dB(A)；夜间为22:00至次日6:00</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施工期间</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超标处罚、夜间施工须许可</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GB 12523—2025</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表中数值依据《招标投标法实施条例》（国务院令第709号）、《生产安全事故报告和调查处理条例》（国务院令第493号）、《保障农民工工资支付条例》（国务院令第724号）、《建设工程质量管理条例》（国务院令第714号）、最高法建设工程施工合同纠纷司法解释（一）（法释〔2020〕25号）、《建设工程施工合同（示范文本）》GF-2017-0201、《建筑施工噪声排放标准》GB 12523—2025。各地规定及合同专用条款可能更严，具体以现行规定和合同为准。</w:t>
      </w:r>
    </w:p>
    <w:p>
      <w:pPr>
        <w:pStyle w:val="Heading3"/>
        <w:pageBreakBefore/>
        <w:spacing w:before="120"/>
      </w:pPr>
      <w:bookmarkStart w:id="139" w:name="_LarkToc00139"/>
      <w:r>
        <w:t>附件13-3　印章证照、授权委托与介绍信管理台账</w:t>
      </w:r>
      <w:bookmarkEnd w:id="139"/>
    </w:p>
    <w:p>
      <w:pPr>
        <w:spacing w:before="0" w:after="40" w:line="312" w:lineRule="auto"/>
        <w:ind w:firstLine="0"/>
        <w:jc w:val="left"/>
      </w:pPr>
      <w:r>
        <w:rPr>
          <w:rFonts w:ascii="Times New Roman" w:hAnsi="Times New Roman" w:eastAsia="宋体"/>
          <w:b w:val="0"/>
          <w:i w:val="0"/>
          <w:color w:val="595959"/>
          <w:sz w:val="18"/>
        </w:rPr>
        <w:t>【归属】第13章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【用途】由综合办（或指定印章证照保管员）逐笔登记用印、证照借用、授权委托和介绍信开具，做到一事一登、借还有据、当面清点归还。标注“（示例）”的行用后删除。</w:t>
      </w:r>
    </w:p>
    <w:p>
      <w:pPr>
        <w:keepNext/>
        <w:spacing w:before="80" w:after="40" w:line="288" w:lineRule="auto"/>
        <w:ind w:firstLine="0"/>
        <w:jc w:val="center"/>
      </w:pPr>
      <w:r>
        <w:rPr>
          <w:rFonts w:ascii="Times New Roman" w:hAnsi="Times New Roman" w:eastAsia="黑体"/>
          <w:b/>
          <w:i w:val="0"/>
          <w:color w:val="000000"/>
          <w:sz w:val="21"/>
        </w:rPr>
        <w:t>表13-3　印章证照、授权委托与介绍信管理台账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名称／编号</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保管人</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用印／借用事由</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审批人</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借出／归还日期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归还确认</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（示例）1</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合同章</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合同章No.002／XX工程分包合同</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综合办</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签订XX劳务分包合同用印</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2026-04-10借出／2026-04-10归还</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已当面验章归还</w:t>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类别含公章、合同章、财务章、法人章、营业执照等证照、授权委托书、介绍信等；印章证照一律专柜保管、用印审批登记，严禁在空白纸张、空白合同上用印或开具空白介绍信；授权委托书应载明权限范围和有效期限。标注“（示例）”的行用后删除；具体审批权限按企业印章证照管理制度执行。</w:t>
      </w:r>
    </w:p>
    <w:p>
      <w:pPr>
        <w:pStyle w:val="Heading2"/>
        <w:pageBreakBefore/>
      </w:pPr>
      <w:bookmarkStart w:id="17" w:name="_LarkToc00017"/>
      <w:r>
        <w:t>第14章　现金流与合规：现金为王、合规为底</w:t>
      </w:r>
      <w:bookmarkEnd w:id="17"/>
    </w:p>
    <w:p>
      <w:pPr>
        <w:pStyle w:val="sec_head"/>
      </w:pPr>
      <w:r>
        <w:t>14.1　现金为王：现金流是企业的血液与生死线</w:t>
      </w:r>
    </w:p>
    <w:p>
      <w:pPr>
        <w:spacing w:before="0" w:after="0" w:line="360" w:lineRule="auto"/>
        <w:ind w:firstLine="480"/>
        <w:jc w:val="both"/>
      </w:pPr>
      <w:r>
        <w:rPr>
          <w:rFonts w:ascii="Times New Roman" w:hAnsi="Times New Roman" w:eastAsia="宋体"/>
          <w:b w:val="0"/>
          <w:i w:val="0"/>
          <w:color w:val="000000"/>
          <w:sz w:val="24"/>
        </w:rPr>
        <w:t>利润是面子，现金流是日子。很多项目账面盈利却干不下去，不是亏在成本，而是死在回款慢、垫资重、工资和材料款不能按时付。毛泽东同志讲“打得赢就打、打不赢就走”，在资金上就是要保住“走”的本钱——手里要有能发工资、能买料、能还债的活钱。现金流一旦断裂，再大的企业也会瞬间停摆。因此要把现金流当作生死线来管：不接没有资金保障的活，不做垫资无底的项目，不为了规模盲目扩张。</w:t>
      </w:r>
    </w:p>
    <w:p>
      <w:pPr>
        <w:pStyle w:val="sec_head"/>
      </w:pPr>
      <w:r>
        <w:t>14.2　资金计划：年、月、周滚动，收支两条线</w:t>
      </w:r>
    </w:p>
    <w:p>
      <w:pPr>
        <w:spacing w:before="0" w:after="0" w:line="360" w:lineRule="auto"/>
        <w:ind w:firstLine="480"/>
        <w:jc w:val="both"/>
      </w:pPr>
      <w:r>
        <w:rPr>
          <w:rFonts w:ascii="Times New Roman" w:hAnsi="Times New Roman" w:eastAsia="宋体"/>
          <w:b w:val="0"/>
          <w:i w:val="0"/>
          <w:color w:val="000000"/>
          <w:sz w:val="24"/>
        </w:rPr>
        <w:t>资金要提前算、滚动算。项目部按年做总体收支测算，按月编制资金计划，按周细化到收支节点，每月、每周对比计划与实际，发现缺口立即调整。坚持收支两条线：工程款收入进入指定账户，支出按计划、按审批拨付，严禁坐支、挪用和体外循环。农民工工资必须通过专用账户、由总包代发，专款专用（见附件14-1表一）。</w:t>
      </w:r>
    </w:p>
    <w:p>
      <w:pPr>
        <w:pStyle w:val="sec_head"/>
      </w:pPr>
      <w:r>
        <w:t>14.3　垫资的上限与决策</w:t>
      </w:r>
    </w:p>
    <w:p>
      <w:pPr>
        <w:spacing w:before="0" w:after="0" w:line="360" w:lineRule="auto"/>
        <w:ind w:firstLine="480"/>
        <w:jc w:val="both"/>
      </w:pPr>
      <w:r>
        <w:rPr>
          <w:rFonts w:ascii="Times New Roman" w:hAnsi="Times New Roman" w:eastAsia="宋体"/>
          <w:b w:val="0"/>
          <w:i w:val="0"/>
          <w:color w:val="000000"/>
          <w:sz w:val="24"/>
        </w:rPr>
        <w:t>垫资是把双刃剑：垫得好是抢占市场的手段，垫得不好是拖垮企业的包袱。垫资必须有三条硬约束：</w:t>
      </w:r>
    </w:p>
    <w:p>
      <w:pPr>
        <w:pStyle w:val="ListBullet"/>
        <w:spacing w:before="0" w:after="0" w:line="360" w:lineRule="auto"/>
        <w:ind w:firstLine="0" w:left="420"/>
        <w:jc w:val="both"/>
      </w:pPr>
      <w:r>
        <w:rPr>
          <w:rFonts w:ascii="Times New Roman" w:hAnsi="Times New Roman" w:eastAsia="宋体"/>
          <w:b w:val="0"/>
          <w:i w:val="0"/>
          <w:color w:val="000000"/>
          <w:sz w:val="24"/>
        </w:rPr>
        <w:t>谁批：超过项目垫资上限的，必须报公司集体决策，项目经理无权自行决定。</w:t>
      </w:r>
    </w:p>
    <w:p>
      <w:pPr>
        <w:pStyle w:val="ListBullet"/>
        <w:spacing w:before="0" w:after="0" w:line="360" w:lineRule="auto"/>
        <w:ind w:firstLine="0" w:left="420"/>
        <w:jc w:val="both"/>
      </w:pPr>
      <w:r>
        <w:rPr>
          <w:rFonts w:ascii="Times New Roman" w:hAnsi="Times New Roman" w:eastAsia="宋体"/>
          <w:b w:val="0"/>
          <w:i w:val="0"/>
          <w:color w:val="000000"/>
          <w:sz w:val="24"/>
        </w:rPr>
        <w:t>封顶：单个项目垫资占合同额比例设上限（如不超过20%，具体由公司定），触线即停。</w:t>
      </w:r>
    </w:p>
    <w:p>
      <w:pPr>
        <w:pStyle w:val="ListBullet"/>
        <w:spacing w:before="0" w:after="0" w:line="360" w:lineRule="auto"/>
        <w:ind w:firstLine="0" w:left="420"/>
        <w:jc w:val="both"/>
      </w:pPr>
      <w:r>
        <w:rPr>
          <w:rFonts w:ascii="Times New Roman" w:hAnsi="Times New Roman" w:eastAsia="宋体"/>
          <w:b w:val="0"/>
          <w:i w:val="0"/>
          <w:color w:val="000000"/>
          <w:sz w:val="24"/>
        </w:rPr>
        <w:t>担保：大额垫资应要求业主提供工程款支付担保或其他有效保障，并在合同中明确垫资利息与偿还节点。</w:t>
      </w:r>
    </w:p>
    <w:p>
      <w:pPr>
        <w:pStyle w:val="sec_head"/>
      </w:pPr>
      <w:r>
        <w:t>14.4　回款管理与逾期分级催收</w:t>
      </w:r>
    </w:p>
    <w:p>
      <w:pPr>
        <w:spacing w:before="0" w:after="0" w:line="360" w:lineRule="auto"/>
        <w:ind w:firstLine="480"/>
        <w:jc w:val="both"/>
      </w:pPr>
      <w:r>
        <w:rPr>
          <w:rFonts w:ascii="Times New Roman" w:hAnsi="Times New Roman" w:eastAsia="宋体"/>
          <w:b w:val="0"/>
          <w:i w:val="0"/>
          <w:color w:val="000000"/>
          <w:sz w:val="24"/>
        </w:rPr>
        <w:t>干得好更要收得回。建立计量—申报—审核—回款全链条跟踪：进度款按节点及时申报，对方拖延审核的按期发函催告。对逾期应收实行分级催收：逾期30日内经办催收，逾期60日项目经理牵头发正式函件，逾期90日升级公司法务并评估停工、违约索赔乃至诉讼，同时注意工程价款优先受偿权自应付款之日起最长18个月的行使期限，切勿超期。</w:t>
      </w:r>
    </w:p>
    <w:p>
      <w:pPr>
        <w:spacing w:before="20" w:after="80" w:line="288" w:lineRule="auto"/>
        <w:ind w:firstLine="0"/>
        <w:jc w:val="left"/>
      </w:pPr>
      <w:r>
        <w:rPr>
          <w:rFonts w:ascii="Times New Roman" w:hAnsi="Times New Roman" w:eastAsia="宋体"/>
          <w:b w:val="0"/>
          <w:i w:val="0"/>
          <w:color w:val="404040"/>
          <w:sz w:val="18"/>
        </w:rPr>
        <w:t>依据：最高人民法院建设工程施工合同纠纷司法解释（一）（法释〔2020〕25号）第四十一条：承包人行使建设工程价款优先受偿权最长不得超过18个月，自发包人应当给付建设工程价款之日起算，且不及于利息、违约金、损害赔偿金。</w:t>
      </w:r>
    </w:p>
    <w:p>
      <w:pPr>
        <w:pStyle w:val="sec_head"/>
      </w:pPr>
      <w:r>
        <w:t>14.5　资金风险预警指标与分级处置</w:t>
      </w:r>
    </w:p>
    <w:p>
      <w:pPr>
        <w:spacing w:before="0" w:after="0" w:line="360" w:lineRule="auto"/>
        <w:ind w:firstLine="480"/>
        <w:jc w:val="both"/>
      </w:pPr>
      <w:r>
        <w:rPr>
          <w:rFonts w:ascii="Times New Roman" w:hAnsi="Times New Roman" w:eastAsia="宋体"/>
          <w:b w:val="0"/>
          <w:i w:val="0"/>
          <w:color w:val="000000"/>
          <w:sz w:val="24"/>
        </w:rPr>
        <w:t>设立回款周期、可支撑月数、垫资占比、工资专户余额、逾期应收占比等量化预警指标，按绿、黄、红三色管理（判定标准见附件14-1表二）。绿色正常，黄色加密监控并上报，红色立即启动应急预案：压缩非必要支出、加大催收、动用储备、暂停新垫资，必要时报告公司决定是否停工或调整。指标每月计算、留痕上报。</w:t>
      </w:r>
    </w:p>
    <w:p>
      <w:pPr>
        <w:pStyle w:val="sec_head"/>
      </w:pPr>
      <w:r>
        <w:t>14.6　合规是生存底线：红线不可碰</w:t>
      </w:r>
    </w:p>
    <w:p>
      <w:pPr>
        <w:spacing w:before="0" w:after="0" w:line="360" w:lineRule="auto"/>
        <w:ind w:firstLine="480"/>
        <w:jc w:val="both"/>
      </w:pPr>
      <w:r>
        <w:rPr>
          <w:rFonts w:ascii="Times New Roman" w:hAnsi="Times New Roman" w:eastAsia="宋体"/>
          <w:b w:val="0"/>
          <w:i w:val="0"/>
          <w:color w:val="000000"/>
          <w:sz w:val="24"/>
        </w:rPr>
        <w:t>合规不是束缚，而是生存资格。串标围标、转包挂靠、拖欠工资、安全费挪用、虚开发票、违规担保、资料造假等红线行为，轻则罚款停工、资质受限，重则吊销资质、追究刑责，一次重大违规足以让企业多年积累毁于一旦。要定期按附件14-2逐项自查，发现问题立即整改、闭环销号；任何业务口不得以“工期紧、通行做法”为由突破红线。</w:t>
      </w:r>
    </w:p>
    <w:p>
      <w:pPr>
        <w:pStyle w:val="attach_div"/>
        <w:pageBreakBefore/>
        <w:jc w:val="center"/>
      </w:pPr>
      <w:r>
        <w:t>第14章　章末附件</w:t>
      </w:r>
    </w:p>
    <w:p>
      <w:pPr>
        <w:spacing w:before="0" w:after="0" w:line="360" w:lineRule="auto"/>
        <w:ind w:firstLine="480"/>
        <w:jc w:val="both"/>
      </w:pPr>
      <w:r>
        <w:rPr>
          <w:rFonts w:ascii="Times New Roman" w:hAnsi="Times New Roman" w:eastAsia="宋体"/>
          <w:b w:val="0"/>
          <w:i w:val="0"/>
          <w:color w:val="000000"/>
          <w:sz w:val="24"/>
        </w:rPr>
        <w:t>本页之后为《现金流与合规：现金为王、合规为底》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40" w:name="_LarkToc00140"/>
      <w:r>
        <w:t>附件14-1　项目现金流与资金风险预警管控表</w:t>
      </w:r>
      <w:bookmarkEnd w:id="140"/>
    </w:p>
    <w:p>
      <w:pPr>
        <w:spacing w:before="0" w:after="40" w:line="312" w:lineRule="auto"/>
        <w:ind w:firstLine="0"/>
        <w:jc w:val="left"/>
      </w:pPr>
      <w:r>
        <w:rPr>
          <w:rFonts w:ascii="Times New Roman" w:hAnsi="Times New Roman" w:eastAsia="宋体"/>
          <w:b w:val="0"/>
          <w:i w:val="0"/>
          <w:color w:val="595959"/>
          <w:sz w:val="18"/>
        </w:rPr>
        <w:t>【归属】第14章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【用途】表一按月（或按周）编制资金收支计划与缺口，金额保留两位小数；表二每月计算预警指标，按绿黄红分级处置。标注“（示例）”的行用后删除。</w:t>
      </w:r>
    </w:p>
    <w:p>
      <w:pPr>
        <w:keepNext/>
        <w:spacing w:before="80" w:after="40" w:line="288" w:lineRule="auto"/>
        <w:ind w:firstLine="0"/>
        <w:jc w:val="center"/>
      </w:pPr>
      <w:r>
        <w:rPr>
          <w:rFonts w:ascii="Times New Roman" w:hAnsi="Times New Roman" w:eastAsia="黑体"/>
          <w:b/>
          <w:i w:val="0"/>
          <w:color w:val="000000"/>
          <w:sz w:val="21"/>
        </w:rPr>
        <w:t>表14-1　项目资金收支计划与缺口表（金额单位：万元）</w:t>
      </w:r>
    </w:p>
    <w:tbl>
      <w:tblPr>
        <w:tblStyle w:val="TableGrid"/>
        <w:tblW w:type="auto" w:w="0"/>
        <w:jc w:val="center"/>
        <w:tblLayout w:type="fixed"/>
        <w:tblLook w:firstColumn="1" w:firstRow="1" w:lastColumn="0" w:lastRow="0" w:noHBand="0" w:noVBand="1" w:val="04A0"/>
      </w:tblPr>
      <w:tblGrid>
        <w:gridCol w:w="756"/>
        <w:gridCol w:w="756"/>
        <w:gridCol w:w="756"/>
        <w:gridCol w:w="756"/>
        <w:gridCol w:w="756"/>
        <w:gridCol w:w="756"/>
        <w:gridCol w:w="756"/>
        <w:gridCol w:w="756"/>
        <w:gridCol w:w="756"/>
        <w:gridCol w:w="756"/>
        <w:gridCol w:w="756"/>
        <w:gridCol w:w="756"/>
      </w:tblGrid>
      <w:tr>
        <w:trPr>
          <w:cantSplit/>
          <w:tblHeader w:val="true"/>
        </w:trPr>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期间</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预计回款</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人工费</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材料费</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分包费</w:t>
            </w:r>
          </w:p>
        </w:tc>
        <w:tc>
          <w:tcPr>
            <w:tcW w:type="dxa" w:w="53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机械费</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税费及其他</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支出合计</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收支净额</w:t>
            </w:r>
          </w:p>
        </w:tc>
        <w:tc>
          <w:tcPr>
            <w:tcW w:type="dxa" w:w="70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累计资金余额</w:t>
            </w:r>
          </w:p>
        </w:tc>
        <w:tc>
          <w:tcPr>
            <w:tcW w:type="dxa" w:w="53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缺口</w:t>
            </w:r>
          </w:p>
        </w:tc>
        <w:tc>
          <w:tcPr>
            <w:tcW w:type="dxa" w:w="99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弥补措施</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（示例）2026-04</w:t>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1,000.00</w:t>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180.00</w:t>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420.00</w:t>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260.00</w:t>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60.00</w:t>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80.00</w:t>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1,000.00</w:t>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0.00</w:t>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350.00</w:t>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无</w:t>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加速进度款申报</w:t>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09"/>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3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9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注：金额保留两位小数；收支净额=预计回款−支出合计；累计资金余额按月滚动；出现缺口须写明弥补措施（催收、储备资金、压缩支出等）并报公司。标注“（示例）”的行用后删除。</w:t>
      </w:r>
    </w:p>
    <w:p>
      <w:pPr>
        <w:keepNext/>
        <w:spacing w:before="80" w:after="40" w:line="288" w:lineRule="auto"/>
        <w:ind w:firstLine="0"/>
        <w:jc w:val="center"/>
      </w:pPr>
      <w:r>
        <w:rPr>
          <w:rFonts w:ascii="Times New Roman" w:hAnsi="Times New Roman" w:eastAsia="黑体"/>
          <w:b/>
          <w:i w:val="0"/>
          <w:color w:val="000000"/>
          <w:sz w:val="21"/>
        </w:rPr>
        <w:t>表14-2　资金风险预警指标与分级处置表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预警指标</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绿/黄/红判定标准</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信号颜色</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分级处置措施</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回款周期（应收周转天数）</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≤60天</w:t>
            </w:r>
          </w:p>
        </w:tc>
        <w:tc>
          <w:tcPr>
            <w:tcW w:type="dxa" w:w="794"/>
            <w:shd w:val="clear" w:color="auto" w:fill="70AD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绿</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正常管理，按计划催收</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回款周期（应收周转天数）</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60—90天</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黄</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加密对账、项目经理发函催收、每周上报</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回款周期（应收周转天数）</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&gt;90天</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公司法务介入、评估停工及优先受偿权行使</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公司分管领导</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资金余额可支撑月数</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≥3个月</w:t>
            </w:r>
          </w:p>
        </w:tc>
        <w:tc>
          <w:tcPr>
            <w:tcW w:type="dxa" w:w="794"/>
            <w:shd w:val="clear" w:color="auto" w:fill="70AD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绿</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正常</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财务负责人</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资金余额可支撑月数</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1—3个月</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黄</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压缩非必要支出、安排回款、准备储备金</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财务负责人</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资金余额可支撑月数</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&lt;1个月</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启动应急预案、暂停新垫资、报告公司</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项目经理/公司</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垫资占合同额比例</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≤10%</w:t>
            </w:r>
          </w:p>
        </w:tc>
        <w:tc>
          <w:tcPr>
            <w:tcW w:type="dxa" w:w="794"/>
            <w:shd w:val="clear" w:color="auto" w:fill="70AD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绿</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正常</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垫资占合同额比例</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10%—20%</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黄</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专项监控、未经批准不得继续垫资</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公司财务</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垫资占合同额比例</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&gt;20%</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停止垫资、公司集体决策、落实担保</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公司分管领导</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农民工工资专户余额</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≥1个月应发工资</w:t>
            </w:r>
          </w:p>
        </w:tc>
        <w:tc>
          <w:tcPr>
            <w:tcW w:type="dxa" w:w="794"/>
            <w:shd w:val="clear" w:color="auto" w:fill="70AD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绿</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按月足额代发</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劳资专管员</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农民工工资专户余额</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不足1个月应发</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黄</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立即补足、核实资金来源</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财务负责人</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农民工工资专户余额</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无余额或有断发风险</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优先保障工资、不得挪作他用、上报处置</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逾期应收款占比</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≤10%</w:t>
            </w:r>
          </w:p>
        </w:tc>
        <w:tc>
          <w:tcPr>
            <w:tcW w:type="dxa" w:w="794"/>
            <w:shd w:val="clear" w:color="auto" w:fill="70AD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绿</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正常</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逾期应收款占比</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10%—30%</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黄</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列入重点催收、逐笔制定回款计划</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逾期应收款占比</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&gt;30%</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法律手段清收、评估项目整体风险</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公司法务</w:t>
            </w:r>
          </w:p>
        </w:tc>
      </w:tr>
    </w:tbl>
    <w:p>
      <w:pPr>
        <w:spacing w:before="20" w:after="80" w:line="288" w:lineRule="auto"/>
        <w:ind w:firstLine="0"/>
        <w:jc w:val="left"/>
      </w:pPr>
      <w:r>
        <w:rPr>
          <w:rFonts w:ascii="Times New Roman" w:hAnsi="Times New Roman" w:eastAsia="宋体"/>
          <w:b w:val="0"/>
          <w:i w:val="0"/>
          <w:color w:val="404040"/>
          <w:sz w:val="18"/>
        </w:rPr>
        <w:t>注：具体阈值由企业结合自身风险承受能力确定，上表为建议值；红警信息须当月上报公司，工资专户及农民工工资管理依据《保障农民工工资支付条例》（国务院令第724号）。</w:t>
      </w:r>
    </w:p>
    <w:p>
      <w:pPr>
        <w:pStyle w:val="Heading3"/>
        <w:pageBreakBefore/>
        <w:spacing w:before="120"/>
      </w:pPr>
      <w:bookmarkStart w:id="141" w:name="_LarkToc00141"/>
      <w:r>
        <w:t>附件14-2　合规红线自查总表</w:t>
      </w:r>
      <w:bookmarkEnd w:id="141"/>
    </w:p>
    <w:p>
      <w:pPr>
        <w:spacing w:before="0" w:after="40" w:line="312" w:lineRule="auto"/>
        <w:ind w:firstLine="0"/>
        <w:jc w:val="left"/>
      </w:pPr>
      <w:r>
        <w:rPr>
          <w:rFonts w:ascii="Times New Roman" w:hAnsi="Times New Roman" w:eastAsia="宋体"/>
          <w:b w:val="0"/>
          <w:i w:val="0"/>
          <w:color w:val="595959"/>
          <w:sz w:val="18"/>
        </w:rPr>
        <w:t>【归属】第14章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【用途】由项目经理组织、公司每季度（或项目竣工前）逐项自查，在“自查情况”栏填“是/否+说明”，发现红线情形立即整改并闭环。标注“（示例）”的行用后删除，依据以现行法规及合同专用条款为准。</w:t>
      </w:r>
    </w:p>
    <w:p>
      <w:pPr>
        <w:keepNext/>
        <w:spacing w:before="80" w:after="40" w:line="288" w:lineRule="auto"/>
        <w:ind w:firstLine="0"/>
        <w:jc w:val="center"/>
      </w:pPr>
      <w:r>
        <w:rPr>
          <w:rFonts w:ascii="Times New Roman" w:hAnsi="Times New Roman" w:eastAsia="黑体"/>
          <w:b/>
          <w:i w:val="0"/>
          <w:color w:val="000000"/>
          <w:sz w:val="21"/>
        </w:rPr>
        <w:t>表14-3　合规红线自查总表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领域</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红线情形（禁止行为）</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依据（法规/文号）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自查情况（是/否+说明）</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触发后果</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招投标</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投标人之间协商报价、约定中标人、陪标围标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招标投标法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中标无效、罚款、没收违法所得</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招投标</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提供虚假资质、业绩、人员证书骗取中标</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招标投标法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中标无效、赔偿、吊销资质直至刑责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招投标</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出借资质、允许他人以本单位名义投标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建筑法第26条</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责令改正、没收违法所得、罚款</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转包违法分包挂靠</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承包后转包他人、肢解后以分包名义转包</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建筑法第28条、国务院令第714号第78条</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没收违法所得、罚款、停业整顿、吊销资质</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转包违法分包挂靠</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分包给无资质单位、未经建设认可分包</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住建部令第47号第14条</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处罚、返工、连带赔偿</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转包违法分包挂靠</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只收管理费、五类人员非本单位（挂靠）</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住建部令第47号第15条</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视同转包挂靠、从重处罚</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农民工工资</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未按规定设工资专户、未实行总包代发</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国务院令第724号第26/31条</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责令改正、罚款、停工</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农民工工资</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拖欠工资、未按规定存储工资保证金</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国务院令第724号、人社部发〔2021〕65号</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失信联合惩戒、5万—10万元罚款</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农民工工资</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专户资金挪作他用、违规查封扣押</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国务院令第724号第33条</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责令改正、追责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安全质量</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安全生产费用挪作他用</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安全生产法、国务院令第393号第22条</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限期改正、罚款、追责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安全质量</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危大工程未编专项方案、超规模未专家论证即施工</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住建部令第37号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停工、罚款、降低资质</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安全质量</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隐患不整改、违反强制性标准冒险作业</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停工、罚款、事故追刑责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税务发票</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虚开、为他人或让他人为自己开具与实际不符发票</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发票管理办法、税收征管法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补税滞纳金、罚款、虚开发票罪刑责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税务发票</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接受虚开发票、白条入账、不合规凭证列支</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发票管理办法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不得税前扣除、补税罚款</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印章合同</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私刻、伪造公司印章</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刑法、印章管理规定</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治安处罚直至刑责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印章合同</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越权用印、未经审批对外担保或承诺</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公司印章管理制度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合同效力风险、赔偿、内部追责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印章合同</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在空白纸张、空白合同上用印</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公司印章管理制度</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表见代理风险、企业担责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担保</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违规对外担保、为关联方或个人提供担保</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公司法、公司管理制度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担保效力瑕疵、资产损失、追责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担保</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超额缴纳或收取保证金、超过法定比例</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国务院令第709号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责令改正、资金占用损失</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资料造假</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伪造、代签验收及检测人员签字</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建筑法、国务院令第714号</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资料无效、返工、吊销资格</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资料造假</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虚假验收、未验先验、资料与实体不符</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国务院令第714号</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质量责任、罚款、信用惩戒</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中华人民共和国招标投标法》、《中华人民共和国建筑法》（主席令第29号，第26、28条）、《建设工程质量管理条例》（国务院令第714号，第40、78条）、《建设工程安全生产管理条例》（国务院令第393号）、《保障农民工工资支付条例》（国务院令第724号）、《工程建设领域农民工工资保证金规定》（人社部发〔2021〕65号）、《危险性较大的分部分项工程安全管理规定》（住建部令第37号）、《房屋建筑和市政基础设施工程施工分包管理办法》（住建部令第47号）、《中华人民共和国安全生产法》。标注“（示例）”的行用后删除；具体处罚幅度以现行法规及项目所在地规定、合同专用条款为准。</w:t>
      </w:r>
    </w:p>
    <w:p>
      <w:pPr>
        <w:pStyle w:val="Heading3"/>
        <w:pageBreakBefore/>
        <w:spacing w:before="120"/>
      </w:pPr>
      <w:bookmarkStart w:id="142" w:name="_LarkToc00142"/>
      <w:r>
        <w:t>附件14-3　项目廉洁风险点与防控矩阵表</w:t>
      </w:r>
      <w:bookmarkEnd w:id="142"/>
    </w:p>
    <w:p>
      <w:pPr>
        <w:spacing w:before="0" w:after="40" w:line="312" w:lineRule="auto"/>
        <w:ind w:firstLine="0"/>
        <w:jc w:val="left"/>
      </w:pPr>
      <w:r>
        <w:rPr>
          <w:rFonts w:ascii="Times New Roman" w:hAnsi="Times New Roman" w:eastAsia="宋体"/>
          <w:b w:val="0"/>
          <w:i w:val="0"/>
          <w:color w:val="595959"/>
          <w:sz w:val="18"/>
        </w:rPr>
        <w:t>【归属】第14章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【用途】由项目经理会同纪检（或监督岗位）对照招标、采购、分包、结算、资金、验收六个环节逐项梳理，评定风险等级并落实防控措施和责任人。标注“（示例）”的行用后删除。</w:t>
      </w:r>
    </w:p>
    <w:p>
      <w:pPr>
        <w:keepNext/>
        <w:spacing w:before="80" w:after="40" w:line="288" w:lineRule="auto"/>
        <w:ind w:firstLine="0"/>
        <w:jc w:val="center"/>
      </w:pPr>
      <w:r>
        <w:rPr>
          <w:rFonts w:ascii="Times New Roman" w:hAnsi="Times New Roman" w:eastAsia="黑体"/>
          <w:b/>
          <w:i w:val="0"/>
          <w:color w:val="000000"/>
          <w:sz w:val="21"/>
        </w:rPr>
        <w:t>表14-4　项目廉洁风险点与防控矩阵表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环节</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可能后果</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风险等级</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防控措施</w:t>
            </w:r>
          </w:p>
        </w:tc>
        <w:tc>
          <w:tcPr>
            <w:tcW w:type="dxa" w:w="119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责任人／监督</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（示例）采购</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询价围标、指定供应商、吃回扣</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采购价偏高、质次价高</w:t>
            </w:r>
          </w:p>
        </w:tc>
        <w:tc>
          <w:tcPr>
            <w:tcW w:type="dxa" w:w="737"/>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三方比价、供应商准入轮换、采购与验收分离、比价记录留痕</w:t>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采购负责人／纪检监督</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招标</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明招暗定、泄露标底、陪标围标</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中标无效、罚款直至刑责</w:t>
            </w:r>
          </w:p>
        </w:tc>
        <w:tc>
          <w:tcPr>
            <w:tcW w:type="dxa" w:w="737"/>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招标文件集体评审、标底保密、评标回避、全程留痕</w:t>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商务负责人／公司招标办</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分包</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分包队伍选择不透明、违规分包挂靠</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质量安全事故、连带赔偿、处罚</w:t>
            </w:r>
          </w:p>
        </w:tc>
        <w:tc>
          <w:tcPr>
            <w:tcW w:type="dxa" w:w="737"/>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分包招标比价、资质审查、严禁挂靠、分包合同会签</w:t>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商务负责人／工程管理部</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结算</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虚增工程量、虚假签证、审价放水</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成本流失、审计追责</w:t>
            </w:r>
          </w:p>
        </w:tc>
        <w:tc>
          <w:tcPr>
            <w:tcW w:type="dxa" w:w="737"/>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橙</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签证现场两人以上签认、结算多级复核、审计抽查</w:t>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商务负责人／审计</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资金</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公款私存、坐支挪用、违规支付</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资金损失、违法违规</w:t>
            </w:r>
          </w:p>
        </w:tc>
        <w:tc>
          <w:tcPr>
            <w:tcW w:type="dxa" w:w="737"/>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收支两条线、付款分级审批、银行账户定期核对、工资专户专款专用</w:t>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财务负责人／财务总监</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验收</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未验先验、虚假验收、放水过关</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质量隐患、终身追责</w:t>
            </w:r>
          </w:p>
        </w:tc>
        <w:tc>
          <w:tcPr>
            <w:tcW w:type="dxa" w:w="737"/>
            <w:shd w:val="clear" w:color="auto" w:fill="E36C0A"/>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橙</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按检验批逐级验收、影像留痕、验收人员回避利益关系</w:t>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质量负责人／监理</w:t>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廉洁风险防控坚持“管业务必须管廉洁”，关键岗位定期轮岗、采购与验收分离、大额事项集体决策；风险等级按红（重大）、橙（较大）、黄（一般）、蓝（低）评定并分级管控。标注“（示例）”的行用后删除；具体防控措施与监督主体按企业廉洁从业规定和内控制度执行。</w:t>
      </w:r>
    </w:p>
    <w:p>
      <w:pPr>
        <w:pStyle w:val="Heading1"/>
      </w:pPr>
      <w:bookmarkStart w:id="18" w:name="_LarkToc00018"/>
      <w:r>
        <w:t>第四篇　战略篇——持久战、选战场、谋转型、守底线、建队伍</w:t>
      </w:r>
      <w:bookmarkEnd w:id="18"/>
    </w:p>
    <w:p>
      <w:pPr>
        <w:spacing w:before="0" w:after="0" w:line="360" w:lineRule="auto"/>
        <w:ind w:firstLine="480"/>
        <w:jc w:val="both"/>
      </w:pPr>
      <w:r>
        <w:rPr>
          <w:rFonts w:ascii="Times New Roman" w:hAnsi="Times New Roman" w:eastAsia="宋体"/>
          <w:b w:val="0"/>
          <w:i w:val="0"/>
          <w:color w:val="000000"/>
          <w:sz w:val="24"/>
        </w:rPr>
        <w:t>业务篇讲“怎么打好每一仗”，战略篇讲“在什么样的战场上、打什么样的仗、靠谁来打”。行业深度调整期，企业既要做“持久战”的准备，守住现金流和安全质量的根据地，又要实事求是地选择差异化战场、谋划能力突围、建设能打硬仗的队伍。</w:t>
      </w:r>
    </w:p>
    <w:p>
      <w:pPr>
        <w:pStyle w:val="Heading2"/>
        <w:pageBreakBefore/>
      </w:pPr>
      <w:bookmarkStart w:id="19" w:name="_LarkToc00019"/>
      <w:r>
        <w:t>第15章　持久战：认清行业周期，做长期准备</w:t>
      </w:r>
      <w:bookmarkEnd w:id="19"/>
    </w:p>
    <w:p>
      <w:pPr>
        <w:pStyle w:val="sec_head"/>
      </w:pPr>
      <w:r>
        <w:t>15.1　行业的周期性与本轮调整的性质：先实事求是地看清脚下</w:t>
      </w:r>
    </w:p>
    <w:p>
      <w:pPr>
        <w:spacing w:before="0" w:after="0" w:line="360" w:lineRule="auto"/>
        <w:ind w:firstLine="480"/>
        <w:jc w:val="both"/>
      </w:pPr>
      <w:r>
        <w:rPr>
          <w:rFonts w:ascii="Times New Roman" w:hAnsi="Times New Roman" w:eastAsia="宋体"/>
          <w:b w:val="0"/>
          <w:i w:val="0"/>
          <w:color w:val="000000"/>
          <w:sz w:val="24"/>
        </w:rPr>
        <w:t>建筑施工行业随固定资产投资、财政与货币环境、城镇化进程而起伏，具有明显的周期性。毛泽东同志在《论持久战》中批判过两种错误倾向：一种是幻想速胜的“亡国论”反面的急性病，一种是悲观失望的“亡国论”。放到企业经营上，同样要防止两种情绪：一是幻想市场很快回到高增长、高利润的旧常态，靠加杠杆、铺摊子、低价抢标“冲过去”；二是认为行业一蹶不振，收缩到无所作为、躺平观望。正确的态度是实事求是：用本企业的订单、价格、回款、利润、负债、队伍、政策七组客观数据说话，判断本轮调整是短期波动还是中长期阶段转换，既不编造“行业马上回暖”的乐观数字，也不渲染“天塌下来”的悲观结论。</w:t>
      </w:r>
    </w:p>
    <w:p>
      <w:pPr>
        <w:pStyle w:val="sec_head"/>
      </w:pPr>
      <w:r>
        <w:t>15.2　对照持久战三阶段，研判企业所处位置</w:t>
      </w:r>
    </w:p>
    <w:p>
      <w:pPr>
        <w:spacing w:before="0" w:after="0" w:line="360" w:lineRule="auto"/>
        <w:ind w:firstLine="480"/>
        <w:jc w:val="both"/>
      </w:pPr>
      <w:r>
        <w:rPr>
          <w:rFonts w:ascii="Times New Roman" w:hAnsi="Times New Roman" w:eastAsia="宋体"/>
          <w:b w:val="0"/>
          <w:i w:val="0"/>
          <w:color w:val="000000"/>
          <w:sz w:val="24"/>
        </w:rPr>
        <w:t>《论持久战》把战争划分为战略防御、战略相持、战略反攻三个阶段。企业在行业周期中大体同理：防御阶段，任务不足、价格下行、现金吃紧，主要矛盾是“活下来、不失地”；相持阶段，市场既未明显回暖也未继续恶化，企业任务不足与成本高企并存，主要矛盾是“熬得住、蓄得实”；反攻阶段，需求回升、价格修复、回款改善，主要矛盾是“抓住机会、扩大战果”。三阶段不是日历上固定的时间，而是由企业自身数据和市场信号共同判定的（研判表见附件15-1表15-1）。多数施工企业在调整期长期处于防御向相持过渡的位置，切忌把相持误判为反攻而盲目扩张，也切忌把防御误判为反攻前夜而空耗弹药。</w:t>
      </w:r>
    </w:p>
    <w:p>
      <w:pPr>
        <w:pStyle w:val="sec_head"/>
      </w:pPr>
      <w:r>
        <w:t>15.3　防御阶段：先保存量，保住现金流、核心客户与骨干队伍三块根据地</w:t>
      </w:r>
    </w:p>
    <w:p>
      <w:pPr>
        <w:spacing w:before="0" w:after="0" w:line="360" w:lineRule="auto"/>
        <w:ind w:firstLine="480"/>
        <w:jc w:val="both"/>
      </w:pPr>
      <w:r>
        <w:rPr>
          <w:rFonts w:ascii="Times New Roman" w:hAnsi="Times New Roman" w:eastAsia="宋体"/>
          <w:b w:val="0"/>
          <w:i w:val="0"/>
          <w:color w:val="000000"/>
          <w:sz w:val="24"/>
        </w:rPr>
        <w:t>“保存自己”是第一位的。防御阶段的首要目标不是利润最大化，而是活下去、保住根据地。现金流是企业的血液，要把经营性现金流作为最高优先级指标，逐项目盯紧收款、付款和垫资规模，对资金来源不落实、回款无保障的项目宁可放弃；核心客户是基本盘，要优先维护资信好、付款及时、合作稳定的老业主，不因为新机会而丢掉基本盘；骨干队伍是最可宝贵的有生力量，项目经理、技术、商务、安全等关键岗位一旦流失，反攻到来时无人可用。安全与质量是“根据地”的底线（见第7章），越在困难时期越不能省安全投入、越不能抢工期出事故，一次事故足以让防御功亏一篑。</w:t>
      </w:r>
    </w:p>
    <w:p>
      <w:pPr>
        <w:pStyle w:val="sec_head"/>
      </w:pPr>
      <w:r>
        <w:t>15.4　相持阶段的“熬”与“蓄”：降成本、练内功、做小额试点</w:t>
      </w:r>
    </w:p>
    <w:p>
      <w:pPr>
        <w:spacing w:before="0" w:after="0" w:line="360" w:lineRule="auto"/>
        <w:ind w:firstLine="480"/>
        <w:jc w:val="both"/>
      </w:pPr>
      <w:r>
        <w:rPr>
          <w:rFonts w:ascii="Times New Roman" w:hAnsi="Times New Roman" w:eastAsia="宋体"/>
          <w:b w:val="0"/>
          <w:i w:val="0"/>
          <w:color w:val="000000"/>
          <w:sz w:val="24"/>
        </w:rPr>
        <w:t>相持阶段是最考验定力的阶段。“熬”不是消极等待，而是在低增长中把成本降到行业平均水平以下、把亏损项目逐个止血；“蓄”是利用任务相对平缓的窗口期积蓄力量。具体抓三件事：一是降本增效，盘活闲置设备、优化管理层次、清理低效挂靠和长期亏损的区域，把管理费用和资金成本压下来；二是练内功，完善企业定额、成本数据库、投标报价模型、人才梯队和标准化施工工艺，把前几章讲的成本、合约、质量、安全管理体系真正跑顺；三是小额试点，拿出不影响企业生存的少量资源，在第16章选定的有利战场和第17章的转型方向上做一两个样板项目，用小成本验证新模式，避免在反攻信号未明时下重注。</w:t>
      </w:r>
    </w:p>
    <w:p>
      <w:pPr>
        <w:pStyle w:val="sec_head"/>
      </w:pPr>
      <w:r>
        <w:t>15.5　反攻的条件与时机：用可观察、可量化的信号清单代替主观判断</w:t>
      </w:r>
    </w:p>
    <w:p>
      <w:pPr>
        <w:spacing w:before="0" w:after="0" w:line="360" w:lineRule="auto"/>
        <w:ind w:firstLine="480"/>
        <w:jc w:val="both"/>
      </w:pPr>
      <w:r>
        <w:rPr>
          <w:rFonts w:ascii="Times New Roman" w:hAnsi="Times New Roman" w:eastAsia="宋体"/>
          <w:b w:val="0"/>
          <w:i w:val="0"/>
          <w:color w:val="000000"/>
          <w:sz w:val="24"/>
        </w:rPr>
        <w:t>反攻不是喊出来的，是信号打出来的。企业应建立一张反攻信号清单（附件15-1表15-2），从需求端、价格端、回款端、资金端、队伍端、政策端六个方面设定可观察、可量化的触发标准，例如任务储备月数、中标下浮率、项目毛利率、应收账款逾期占比、经营性现金流是否连续转正、资产负债率是否回到安全区间等。信号逐项打分，多数信号持续出现并相互印证时，才启动加人、加设备、加市场投入的反攻预案；个别信号偶然波动不应据此大举扩张。反攻的节奏应由集体决策，避免“一两个人拍脑袋”。</w:t>
      </w:r>
    </w:p>
    <w:p>
      <w:pPr>
        <w:pStyle w:val="sec_head"/>
      </w:pPr>
      <w:r>
        <w:t>15.6　不幻想速胜、不悲观躺平：把握好节奏与心态</w:t>
      </w:r>
    </w:p>
    <w:p>
      <w:pPr>
        <w:spacing w:before="0" w:after="0" w:line="360" w:lineRule="auto"/>
        <w:ind w:firstLine="480"/>
        <w:jc w:val="both"/>
      </w:pPr>
      <w:r>
        <w:rPr>
          <w:rFonts w:ascii="Times New Roman" w:hAnsi="Times New Roman" w:eastAsia="宋体"/>
          <w:b w:val="0"/>
          <w:i w:val="0"/>
          <w:color w:val="000000"/>
          <w:sz w:val="24"/>
        </w:rPr>
        <w:t>持久战的精髓是主动性、计划性和灵活性。企业要把“保现金流、保安全质量、保骨干队伍”作为贯穿全程的硬约束，把“降本、练内功、小额试点”作为相持期的主要动作，把“信号清单+集体决策”作为转换阶段的闸门。越是困难越要守规矩、守底线，严禁为了冲规模而垫资揽活、低价亏损中标、挂靠出借资质（《建筑法》明令禁止借用资质、禁止转包）；越是平淡越要练队伍、蓄能力，等待属于自己的反攻时机。具体比例、期限、阈值以企业管理制度及现行法规、项目所在地规定为准。</w:t>
      </w:r>
    </w:p>
    <w:p>
      <w:pPr>
        <w:spacing w:before="20" w:after="80" w:line="288" w:lineRule="auto"/>
        <w:ind w:firstLine="0"/>
        <w:jc w:val="left"/>
      </w:pPr>
      <w:r>
        <w:rPr>
          <w:rFonts w:ascii="Times New Roman" w:hAnsi="Times New Roman" w:eastAsia="宋体"/>
          <w:b w:val="0"/>
          <w:i w:val="0"/>
          <w:color w:val="404040"/>
          <w:sz w:val="18"/>
        </w:rPr>
        <w:t>依据：《中华人民共和国建筑法》（2019年修正）第二十六条（禁止借用资质）、第二十八条（禁止转包）；应收账款、现金流、负债率等阈值由企业结合自身情况在附件中设定，本章不预设未经核实的行业统计数字。</w:t>
      </w:r>
    </w:p>
    <w:p>
      <w:pPr>
        <w:pStyle w:val="attach_div"/>
        <w:pageBreakBefore/>
        <w:jc w:val="center"/>
      </w:pPr>
      <w:r>
        <w:t>第15章　章末附件</w:t>
      </w:r>
    </w:p>
    <w:p>
      <w:pPr>
        <w:spacing w:before="0" w:after="0" w:line="360" w:lineRule="auto"/>
        <w:ind w:firstLine="480"/>
        <w:jc w:val="both"/>
      </w:pPr>
      <w:r>
        <w:rPr>
          <w:rFonts w:ascii="Times New Roman" w:hAnsi="Times New Roman" w:eastAsia="宋体"/>
          <w:b w:val="0"/>
          <w:i w:val="0"/>
          <w:color w:val="000000"/>
          <w:sz w:val="24"/>
        </w:rPr>
        <w:t>本页之后为《持久战：认清行业周期，做长期准备》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43" w:name="_LarkToc00143"/>
      <w:r>
        <w:t>附件15-1　行业周期与企业处境研判表</w:t>
      </w:r>
      <w:bookmarkEnd w:id="143"/>
    </w:p>
    <w:p>
      <w:pPr>
        <w:spacing w:before="0" w:after="40" w:line="312" w:lineRule="auto"/>
        <w:ind w:firstLine="0"/>
        <w:jc w:val="left"/>
      </w:pPr>
      <w:r>
        <w:rPr>
          <w:rFonts w:ascii="Times New Roman" w:hAnsi="Times New Roman" w:eastAsia="宋体"/>
          <w:b w:val="0"/>
          <w:i w:val="0"/>
          <w:color w:val="595959"/>
          <w:sz w:val="18"/>
        </w:rPr>
        <w:t>【归属】第15章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经营、财务、生产负责人每季度共同填写。先按七组维度如实填写本企业现状，再对照特征判断所处的持久战阶段（战略防御／战略相持／战略反攻）和主要对策；示范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表15-1　行业周期阶段研判表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研判维度</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特征描述（典型表现）</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本企业现状（如实填）</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对应持久战阶段</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主要对策</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（示例）订单</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新签合同额连续两个报告期同比下滑，大标减少、小散标增多</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（示例）上半年新签同比下降，任务储备约8个月</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战略防御</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收缩战线、保老客户与重点区域</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订单</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新签合同额同比增减、任务可支撑月数、大项目占比</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价格</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中标下浮率、清单单价、人工材料机械价格走势</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回款</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应收账款余额、逾期账款占比、平均回款周期</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利润</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项目毛利率、净利率、亏损项目数量及占比</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负债</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资产负债率、有息负债规模、经营性现金流正负</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队伍</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骨干流失率、劳务队伍稳定性、设备利用率</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政策</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目标区域投资、地方财政、保证金与清欠等政策导向</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keepNext/>
        <w:spacing w:before="80" w:after="40" w:line="288" w:lineRule="auto"/>
        <w:ind w:firstLine="0"/>
        <w:jc w:val="center"/>
      </w:pPr>
      <w:r>
        <w:rPr>
          <w:rFonts w:ascii="Times New Roman" w:hAnsi="Times New Roman" w:eastAsia="黑体"/>
          <w:b/>
          <w:i w:val="0"/>
          <w:color w:val="000000"/>
          <w:sz w:val="21"/>
        </w:rPr>
        <w:t>表15-2　反攻信号与时机清单</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信号类别</w:t>
            </w:r>
          </w:p>
        </w:tc>
        <w:tc>
          <w:tcPr>
            <w:tcW w:type="dxa" w:w="272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反攻触发信号（可观察、可量化的判定标准）</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当前是否出现</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预案动作</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（示例）需求端</w:t>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连续两个季度新签合同额环比回升，任务可支撑月数恢复至≥12个月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启动目标区域增配经营与施工资源</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经营负责人</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需求端</w:t>
            </w:r>
          </w:p>
        </w:tc>
        <w:tc>
          <w:tcPr>
            <w:tcW w:type="dxa" w:w="272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目标区域新签与项目储备连续回升，任务储备月数≥12个月</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价格端</w:t>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中标下浮率收窄，在手项目测算毛利率回升至企业保本线以上</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回款端</w:t>
            </w:r>
          </w:p>
        </w:tc>
        <w:tc>
          <w:tcPr>
            <w:tcW w:type="dxa" w:w="272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应收账款逾期占比下降，经营性现金流连续两个季度转正</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资金端</w:t>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资产负债率降至企业自定安全区间（如≤70%），有息负债可控</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队伍端</w:t>
            </w:r>
          </w:p>
        </w:tc>
        <w:tc>
          <w:tcPr>
            <w:tcW w:type="dxa" w:w="272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骨干流失率回落到低位，核心劳务资源到位率恢复</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政策端</w:t>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目标区域投资与财政状况改善，清欠、保证金等政策见效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72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本表为企业内部季度研判工具，属经营分析，不构成对市场走势的预测或投资建议；“本企业现状”一律以企业账面数据、合同台账及公开权威信息为准，不得编造行业统计数字。各项阈值（任务储备月数、逾期占比、资产负债率等）由企业结合自身承受能力自定并逐年校准；示例行用后删除。</w:t>
      </w:r>
    </w:p>
    <w:p>
      <w:pPr>
        <w:pStyle w:val="Heading3"/>
        <w:pageBreakBefore/>
        <w:spacing w:before="120"/>
      </w:pPr>
      <w:bookmarkStart w:id="144" w:name="_LarkToc00144"/>
      <w:r>
        <w:t>附件15-2　企业订单与现金流压力测试表</w:t>
      </w:r>
      <w:bookmarkEnd w:id="144"/>
    </w:p>
    <w:p>
      <w:pPr>
        <w:spacing w:before="0" w:after="40" w:line="312" w:lineRule="auto"/>
        <w:ind w:firstLine="0"/>
        <w:jc w:val="left"/>
      </w:pPr>
      <w:r>
        <w:rPr>
          <w:rFonts w:ascii="Times New Roman" w:hAnsi="Times New Roman" w:eastAsia="宋体"/>
          <w:b w:val="0"/>
          <w:i w:val="0"/>
          <w:color w:val="595959"/>
          <w:sz w:val="18"/>
        </w:rPr>
        <w:t>【归属】第15章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【用途】由经营、财务负责人每季度（或经营形势突变时）按不同压力情景测算资金缺口和可支撑月数，提前准备应对措施。金额单位为万元、保留两位小数；标注“（示例）”的行用后删除。</w:t>
      </w:r>
    </w:p>
    <w:p>
      <w:pPr>
        <w:keepNext/>
        <w:spacing w:before="80" w:after="40" w:line="288" w:lineRule="auto"/>
        <w:ind w:firstLine="0"/>
        <w:jc w:val="center"/>
      </w:pPr>
      <w:r>
        <w:rPr>
          <w:rFonts w:ascii="Times New Roman" w:hAnsi="Times New Roman" w:eastAsia="黑体"/>
          <w:b/>
          <w:i w:val="0"/>
          <w:color w:val="000000"/>
          <w:sz w:val="21"/>
        </w:rPr>
        <w:t>表15-3　订单与现金流压力测试表（金额单位：万元）</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压力情景</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在手订单／产值</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预计现金流入</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刚性支出</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资金缺口</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可支撑月数</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应对措施</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（示例）基准情景</w:t>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12,000.00</w:t>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8,000.00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7,200.00</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0.00</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4.5</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维持现有经营，按月滚动测算收支</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订单下降20%（情景假设）</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压缩非必要支出、暂缓新垫资、优先保工资和安全投入</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回款延迟3个月（情景假设）</w:t>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加大催收、动用储备资金、与业主协商调整付款节点</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局部停工1个月（情景假设）</w:t>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压缩固定成本、留守值守、保留核心骨干队伍</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订单下降30%且回款延迟3个月（组合压力假设）</w:t>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启动应急预案、暂停新投标和新垫资、报公司集体决策</w:t>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金额保留两位小数；“订单下降X%”“回款延迟X月”“停工”均为压力情景假设，具体降幅、延迟月数和停工时长由企业结合历史数据和经营计划自定并动态调整。资金缺口＝预计现金流入−刚性支出；可支撑月数＝期末可用资金÷月均刚性支出。本表为企业内部经营压力测试，不构成对市场走势的预测；示例行用后删除。</w:t>
      </w:r>
    </w:p>
    <w:p>
      <w:pPr>
        <w:pStyle w:val="Heading2"/>
        <w:pageBreakBefore/>
      </w:pPr>
      <w:bookmarkStart w:id="20" w:name="_LarkToc00020"/>
      <w:r>
        <w:t>第16章　差异化选场：不打无把握之仗，选择有利战场</w:t>
      </w:r>
      <w:bookmarkEnd w:id="20"/>
    </w:p>
    <w:p>
      <w:pPr>
        <w:pStyle w:val="sec_head"/>
      </w:pPr>
      <w:r>
        <w:t>16.1　为什么要选场：同质化低价红海正在吞噬利润</w:t>
      </w:r>
    </w:p>
    <w:p>
      <w:pPr>
        <w:spacing w:before="0" w:after="0" w:line="360" w:lineRule="auto"/>
        <w:ind w:firstLine="480"/>
        <w:jc w:val="both"/>
      </w:pPr>
      <w:r>
        <w:rPr>
          <w:rFonts w:ascii="Times New Roman" w:hAnsi="Times New Roman" w:eastAsia="宋体"/>
          <w:b w:val="0"/>
          <w:i w:val="0"/>
          <w:color w:val="000000"/>
          <w:sz w:val="24"/>
        </w:rPr>
        <w:t>毛泽东同志一贯主张“不打无准备之仗，不打无把握之仗”，并提出“打得赢就打，打不赢就走”。对施工企业而言，“打不赢”不是指技术上干不了，而是指在那个战场、那个业主、那个价位上干了必然亏损或垫资无底。当大家都挤在房建等少数同质化业态、靠压价抢标时，中标即亏损、变更难签证、回款无休止，企业越干越累、越干越穷。选场的本质，就是主动放弃“什么标都投、哪里有活去哪里”的粗放打法，把有限的资金、队伍和管理精力集中到胜算大、条件好、能积累能力的战场上去。</w:t>
      </w:r>
    </w:p>
    <w:p>
      <w:pPr>
        <w:pStyle w:val="sec_head"/>
      </w:pPr>
      <w:r>
        <w:t>16.2　选场四维度：区域、业态、业主、竞争</w:t>
      </w:r>
    </w:p>
    <w:p>
      <w:pPr>
        <w:spacing w:before="0" w:after="0" w:line="360" w:lineRule="auto"/>
        <w:ind w:firstLine="480"/>
        <w:jc w:val="both"/>
      </w:pPr>
      <w:r>
        <w:rPr>
          <w:rFonts w:ascii="Times New Roman" w:hAnsi="Times New Roman" w:eastAsia="宋体"/>
          <w:b w:val="0"/>
          <w:i w:val="0"/>
          <w:color w:val="000000"/>
          <w:sz w:val="24"/>
        </w:rPr>
        <w:t>选场从四个维度逐项掂量：</w:t>
      </w:r>
    </w:p>
    <w:p>
      <w:pPr>
        <w:pStyle w:val="ListBullet"/>
        <w:spacing w:before="0" w:after="0" w:line="360" w:lineRule="auto"/>
        <w:ind w:firstLine="0" w:left="420"/>
        <w:jc w:val="both"/>
      </w:pPr>
      <w:r>
        <w:rPr>
          <w:rFonts w:ascii="Times New Roman" w:hAnsi="Times New Roman" w:eastAsia="宋体"/>
          <w:b w:val="0"/>
          <w:i w:val="0"/>
          <w:color w:val="000000"/>
          <w:sz w:val="24"/>
        </w:rPr>
        <w:t>区域：优先选择企业有属地基础、地方政策稳定、财政与营商环境较好、回款有口碑的区域；对地方财政紧张、垫资严重、恶性压价的区域主动收缩。</w:t>
      </w:r>
    </w:p>
    <w:p>
      <w:pPr>
        <w:pStyle w:val="ListBullet"/>
        <w:spacing w:before="0" w:after="0" w:line="360" w:lineRule="auto"/>
        <w:ind w:firstLine="0" w:left="420"/>
        <w:jc w:val="both"/>
      </w:pPr>
      <w:r>
        <w:rPr>
          <w:rFonts w:ascii="Times New Roman" w:hAnsi="Times New Roman" w:eastAsia="宋体"/>
          <w:b w:val="0"/>
          <w:i w:val="0"/>
          <w:color w:val="000000"/>
          <w:sz w:val="24"/>
        </w:rPr>
        <w:t>业态：优先选择与企业能力匹配、技术有壁垒、竞争尚不充分的业态（如工业建筑、城市更新、生态环保、专业分包等），避免在完全红海的低附加值业态里贴身肉搏。</w:t>
      </w:r>
    </w:p>
    <w:p>
      <w:pPr>
        <w:pStyle w:val="ListBullet"/>
        <w:spacing w:before="0" w:after="0" w:line="360" w:lineRule="auto"/>
        <w:ind w:firstLine="0" w:left="420"/>
        <w:jc w:val="both"/>
      </w:pPr>
      <w:r>
        <w:rPr>
          <w:rFonts w:ascii="Times New Roman" w:hAnsi="Times New Roman" w:eastAsia="宋体"/>
          <w:b w:val="0"/>
          <w:i w:val="0"/>
          <w:color w:val="000000"/>
          <w:sz w:val="24"/>
        </w:rPr>
        <w:t>业主：优先选择资信好、资金来源落实、付款及时、有长期合作可能的业主；对要求大额垫资、历史拖欠、涉诉较多的业主提高门槛或直接放弃。</w:t>
      </w:r>
    </w:p>
    <w:p>
      <w:pPr>
        <w:pStyle w:val="ListBullet"/>
        <w:spacing w:before="0" w:after="0" w:line="360" w:lineRule="auto"/>
        <w:ind w:firstLine="0" w:left="420"/>
        <w:jc w:val="both"/>
      </w:pPr>
      <w:r>
        <w:rPr>
          <w:rFonts w:ascii="Times New Roman" w:hAnsi="Times New Roman" w:eastAsia="宋体"/>
          <w:b w:val="0"/>
          <w:i w:val="0"/>
          <w:color w:val="000000"/>
          <w:sz w:val="24"/>
        </w:rPr>
        <w:t>竞争：评估主要对手数量、与业主关系、价格底线和自身差异化优势；对手既多又强、且自身无明显优势的标，属于“无把握之仗”，应舍得放弃。</w:t>
      </w:r>
    </w:p>
    <w:p>
      <w:pPr>
        <w:pStyle w:val="sec_head"/>
      </w:pPr>
      <w:r>
        <w:t>16.3　能力圈与根据地原则</w:t>
      </w:r>
    </w:p>
    <w:p>
      <w:pPr>
        <w:spacing w:before="0" w:after="0" w:line="360" w:lineRule="auto"/>
        <w:ind w:firstLine="480"/>
        <w:jc w:val="both"/>
      </w:pPr>
      <w:r>
        <w:rPr>
          <w:rFonts w:ascii="Times New Roman" w:hAnsi="Times New Roman" w:eastAsia="宋体"/>
          <w:b w:val="0"/>
          <w:i w:val="0"/>
          <w:color w:val="000000"/>
          <w:sz w:val="24"/>
        </w:rPr>
        <w:t>企业要清醒地知道自己“能干好什么、干不好什么”，把主要资源守在能力圈内的根据地市场。根据地不是一个项目，而是一个区域或一类业态中能持续滚动、持续盈利、队伍能扎根的基本盘。新区域、新业态可以进入，但应先以小额试点验证（见第15章相持阶段的“小额试点”和第17章的转型节奏），跑通一个样板、沉淀一支队伍、摸清当地规则后再逐步扩大，切忌一次性铺开、处处开花却处处亏损。</w:t>
      </w:r>
    </w:p>
    <w:p>
      <w:pPr>
        <w:pStyle w:val="sec_head"/>
      </w:pPr>
      <w:r>
        <w:t>16.4　市场进入与退出标准：用分数线代替拍脑袋</w:t>
      </w:r>
    </w:p>
    <w:p>
      <w:pPr>
        <w:spacing w:before="0" w:after="0" w:line="360" w:lineRule="auto"/>
        <w:ind w:firstLine="480"/>
        <w:jc w:val="both"/>
      </w:pPr>
      <w:r>
        <w:rPr>
          <w:rFonts w:ascii="Times New Roman" w:hAnsi="Times New Roman" w:eastAsia="宋体"/>
          <w:b w:val="0"/>
          <w:i w:val="0"/>
          <w:color w:val="000000"/>
          <w:sz w:val="24"/>
        </w:rPr>
        <w:t>进入或退出一个市场方向，不能凭感觉，要用统一评分表（附件16-1）按固定分数线决策。建议设定：综合得分高的方向优先配置资源、加大投入；处于中间区间的方向观望并择优做试点；得分低的方向逐步退出、不再新增投入，存量项目干完即止。退出同样是一种主动的战略，“走”不是失败，而是把兵力从必败的战场撤出来，集中到能打胜的战场。对垫资无保障、资信恶化的市场，宁可承担退出成本，也不无限追加资金。</w:t>
      </w:r>
    </w:p>
    <w:p>
      <w:pPr>
        <w:pStyle w:val="sec_head"/>
      </w:pPr>
      <w:r>
        <w:t>16.5　用统一评分表集体决策</w:t>
      </w:r>
    </w:p>
    <w:p>
      <w:pPr>
        <w:spacing w:before="0" w:after="0" w:line="360" w:lineRule="auto"/>
        <w:ind w:firstLine="480"/>
        <w:jc w:val="both"/>
      </w:pPr>
      <w:r>
        <w:rPr>
          <w:rFonts w:ascii="Times New Roman" w:hAnsi="Times New Roman" w:eastAsia="宋体"/>
          <w:b w:val="0"/>
          <w:i w:val="0"/>
          <w:color w:val="000000"/>
          <w:sz w:val="24"/>
        </w:rPr>
        <w:t>选场决策应实行集体评审、留痕决策，避免少数人凭人情或冲动定方向。由经营、财务、技术、商务、风控等岗位按同一套维度和标准打分，对反向维度（竞争激烈度、风险水平）统一按“越差得分越低”计分，再按综合得分对照分数线得出进入、观望、退出结论。评分依据要留痕：业主资信通过国家企业信用信息公示系统、裁判文书、执行信息公开网等公开渠道核实，市场空间与竞争情况以企业投标数据库、公开招标信息和专项调研为准，不写死未经核实的市场规模数字。</w:t>
      </w:r>
    </w:p>
    <w:p>
      <w:pPr>
        <w:pStyle w:val="sec_head"/>
      </w:pPr>
      <w:r>
        <w:t>16.6　聚焦与多元的平衡</w:t>
      </w:r>
    </w:p>
    <w:p>
      <w:pPr>
        <w:spacing w:before="0" w:after="0" w:line="360" w:lineRule="auto"/>
        <w:ind w:firstLine="480"/>
        <w:jc w:val="both"/>
      </w:pPr>
      <w:r>
        <w:rPr>
          <w:rFonts w:ascii="Times New Roman" w:hAnsi="Times New Roman" w:eastAsia="宋体"/>
          <w:b w:val="0"/>
          <w:i w:val="0"/>
          <w:color w:val="000000"/>
          <w:sz w:val="24"/>
        </w:rPr>
        <w:t>聚焦是为了在根据地形成优势，多元是为了分散单一业态下行的风险，二者要平衡。建议以1—2个根据地业态为“基本盘”，稳住现金流和队伍；再以2—3个有潜力的方向做“增长盘”，用小步试点的方式培育。多元不是什么热追什么，而是在能力可及、资金可控的前提下有序延伸。任何新方向的投入都应设上限，试点不达预期及时止损，防止多点开花拖垮基本盘。</w:t>
      </w:r>
    </w:p>
    <w:p>
      <w:pPr>
        <w:pStyle w:val="attach_div"/>
        <w:pageBreakBefore/>
        <w:jc w:val="center"/>
      </w:pPr>
      <w:r>
        <w:t>第16章　章末附件</w:t>
      </w:r>
    </w:p>
    <w:p>
      <w:pPr>
        <w:spacing w:before="0" w:after="0" w:line="360" w:lineRule="auto"/>
        <w:ind w:firstLine="480"/>
        <w:jc w:val="both"/>
      </w:pPr>
      <w:r>
        <w:rPr>
          <w:rFonts w:ascii="Times New Roman" w:hAnsi="Times New Roman" w:eastAsia="宋体"/>
          <w:b w:val="0"/>
          <w:i w:val="0"/>
          <w:color w:val="000000"/>
          <w:sz w:val="24"/>
        </w:rPr>
        <w:t>本页之后为《差异化选场：不打无把握之仗，选择有利战场》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45" w:name="_LarkToc00145"/>
      <w:r>
        <w:t>附件16-1　目标市场与业务选择评估表</w:t>
      </w:r>
      <w:bookmarkEnd w:id="145"/>
    </w:p>
    <w:p>
      <w:pPr>
        <w:spacing w:before="0" w:after="40" w:line="312" w:lineRule="auto"/>
        <w:ind w:firstLine="0"/>
        <w:jc w:val="left"/>
      </w:pPr>
      <w:r>
        <w:rPr>
          <w:rFonts w:ascii="Times New Roman" w:hAnsi="Times New Roman" w:eastAsia="宋体"/>
          <w:b w:val="0"/>
          <w:i w:val="0"/>
          <w:color w:val="595959"/>
          <w:sz w:val="18"/>
        </w:rPr>
        <w:t>【归属】第16章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【用途】由经营、财务、技术、商务联合打分，每半年或重大市场决策前更新一次。每个维度按1—5分打分，对照表注计分规则和分数线得出结论；示范行用后删除。</w:t>
      </w:r>
    </w:p>
    <w:p>
      <w:pPr>
        <w:keepNext/>
        <w:spacing w:before="80" w:after="40" w:line="288" w:lineRule="auto"/>
        <w:ind w:firstLine="0"/>
        <w:jc w:val="center"/>
      </w:pPr>
      <w:r>
        <w:rPr>
          <w:rFonts w:ascii="Times New Roman" w:hAnsi="Times New Roman" w:eastAsia="黑体"/>
          <w:b/>
          <w:i w:val="0"/>
          <w:color w:val="000000"/>
          <w:sz w:val="21"/>
        </w:rPr>
        <w:t>表16-1　各业态／市场方向综合评估表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业态/市场方向</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市场空间</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竞争激烈度（反向）</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回款与资金条件</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能力匹配度</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风险水平（反向）</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综合得分</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城市更新／老旧小区改造</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18</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观望→择优试点</w:t>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房建（住宅／公建）</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市政公用（道路、管网、综合管廊）</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工业建筑（厂房、仓储、产业园）</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水利水电</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公路交通</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装配式建筑</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城市更新／存量改造</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生态环保（水环境、园林绿化、固废）</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海外工程</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机电安装／专业分包</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新能源配套（光伏、风电、储能土建）</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计分规则：五个维度各按1—5分打分。市场空间、回款与资金条件、能力匹配度为正向计分（条件越好分越高）；竞争激烈度、风险水平为反向计分（竞争越不激烈、风险越低分越高）。综合得分＝五项之和（满分25分），企业也可按自身战略对各维度加权后换算为百分制。分数线建议：综合得分≥20分列为“进入”，优先配置资源；15—19分为“观望”，择优做小额试点；≤14分为“退出／不进入”，存量项目干完即止。市场空间、回款条件等打分依据以企业投标数据库、公开招标信息及专项调研为准，不写死未经核实的市场规模数字；示例行用后删除。</w:t>
      </w:r>
    </w:p>
    <w:p>
      <w:pPr>
        <w:keepNext/>
        <w:spacing w:before="80" w:after="40" w:line="288" w:lineRule="auto"/>
        <w:ind w:firstLine="0"/>
        <w:jc w:val="center"/>
      </w:pPr>
      <w:r>
        <w:rPr>
          <w:rFonts w:ascii="Times New Roman" w:hAnsi="Times New Roman" w:eastAsia="黑体"/>
          <w:b/>
          <w:i w:val="0"/>
          <w:color w:val="000000"/>
          <w:sz w:val="21"/>
        </w:rPr>
        <w:t>表16-2　目标区域／业主资信评估表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区域</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业主资信</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地方政策</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历史回款记录</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竞争格局</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（示例）XX市XX区</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财政实力较强、无重大失信涉诉</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政策稳定、清欠到位</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按期回款、逾期率低</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对手适中、我方有优势</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进入</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□进入□观望□退出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□进入□观望□退出</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□进入□观望□退出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□进入□观望□退出</w:t>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业主资信应通过国家企业信用信息公示系统、中国裁判文书网、全国法院失信被执行人名单等公开渠道核实并留存截图与查询日期；结论与表16-1分数结论相互印证，凡“资金来源不落实、历史拖欠严重、要求大额垫资”的区域或业主，原则上不得进入。</w:t>
      </w:r>
    </w:p>
    <w:p>
      <w:pPr>
        <w:pStyle w:val="Heading3"/>
        <w:pageBreakBefore/>
        <w:spacing w:before="120"/>
      </w:pPr>
      <w:bookmarkStart w:id="146" w:name="_LarkToc00146"/>
      <w:r>
        <w:t>附件16-2　重点业主信用与区域回款环境评估表</w:t>
      </w:r>
      <w:bookmarkEnd w:id="146"/>
    </w:p>
    <w:p>
      <w:pPr>
        <w:spacing w:before="0" w:after="40" w:line="312" w:lineRule="auto"/>
        <w:ind w:firstLine="0"/>
        <w:jc w:val="left"/>
      </w:pPr>
      <w:r>
        <w:rPr>
          <w:rFonts w:ascii="Times New Roman" w:hAnsi="Times New Roman" w:eastAsia="宋体"/>
          <w:b w:val="0"/>
          <w:i w:val="0"/>
          <w:color w:val="595959"/>
          <w:sz w:val="18"/>
        </w:rPr>
        <w:t>【归属】第16章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【用途】由经营、财务部门对重点目标业主和拟进入区域逐户评估，资信与涉诉信息须通过公开渠道核实并留痕，作为选场决策依据。标注“（示例）”的行用后删除。</w:t>
      </w:r>
    </w:p>
    <w:p>
      <w:pPr>
        <w:keepNext/>
        <w:spacing w:before="80" w:after="40" w:line="288" w:lineRule="auto"/>
        <w:ind w:firstLine="0"/>
        <w:jc w:val="center"/>
      </w:pPr>
      <w:r>
        <w:rPr>
          <w:rFonts w:ascii="Times New Roman" w:hAnsi="Times New Roman" w:eastAsia="黑体"/>
          <w:b/>
          <w:i w:val="0"/>
          <w:color w:val="000000"/>
          <w:sz w:val="21"/>
        </w:rPr>
        <w:t>表16-3　重点业主信用与区域回款环境评估表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区域／业主</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资信情况</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历史回款周期</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拖欠／涉诉情况</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地方政策／监管</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合作风险等级</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合作建议</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（示例）XX市城投类业主</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国有平台、资信较好、无重大失信记录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约90天</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无重大被执行或拖欠工程款记录</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地方财政较稳定、清欠落实较好</w:t>
            </w:r>
          </w:p>
        </w:tc>
        <w:tc>
          <w:tcPr>
            <w:tcW w:type="dxa" w:w="794"/>
            <w:shd w:val="clear" w:color="auto" w:fill="2E75B6"/>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蓝</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可进入，优先维护</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某民营开发企业</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民营、近年资金链偏紧</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约180天且常拖延</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有被执行及施工合同纠纷记录</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预售资金监管收紧</w:t>
            </w:r>
          </w:p>
        </w:tc>
        <w:tc>
          <w:tcPr>
            <w:tcW w:type="dxa" w:w="794"/>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红</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原则上不进入，存量干完即止</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某市级交通投资公司</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国有、项目资金主要靠专项债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约120天</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无重大涉诉</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政策支持、监管较规范</w:t>
            </w:r>
          </w:p>
        </w:tc>
        <w:tc>
          <w:tcPr>
            <w:tcW w:type="dxa" w:w="794"/>
            <w:shd w:val="clear" w:color="auto" w:fill="FFC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黄</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谨慎进入，先落实资金来源与支付担保</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资信、涉诉信息通过国家企业信用信息公示系统、中国裁判文书网、全国法院失信被执行人名单、执行信息公开网等公开渠道核实，并留存查询截图与查询日期；历史回款周期以本企业及同行实际经历为准。合作风险等级按蓝（低／可进入）、黄（一般／择优）、橙（较高／谨慎）、红（高／不进入）评定。标注“（示例）”的行用后删除；具体以公开核实信息及合同专用条款为准。</w:t>
      </w:r>
    </w:p>
    <w:p>
      <w:pPr>
        <w:pStyle w:val="Heading2"/>
        <w:pageBreakBefore/>
      </w:pPr>
      <w:bookmarkStart w:id="21" w:name="_LarkToc00021"/>
      <w:r>
        <w:t>第17章　转型突围：从“低端承包”向“能力＋服务”突围</w:t>
      </w:r>
      <w:bookmarkEnd w:id="21"/>
    </w:p>
    <w:p>
      <w:pPr>
        <w:pStyle w:val="sec_head"/>
      </w:pPr>
      <w:r>
        <w:t>17.1　为什么必须转型：低端施工承包的结构性困境</w:t>
      </w:r>
    </w:p>
    <w:p>
      <w:pPr>
        <w:spacing w:before="0" w:after="0" w:line="360" w:lineRule="auto"/>
        <w:ind w:firstLine="480"/>
        <w:jc w:val="both"/>
      </w:pPr>
      <w:r>
        <w:rPr>
          <w:rFonts w:ascii="Times New Roman" w:hAnsi="Times New Roman" w:eastAsia="宋体"/>
          <w:b w:val="0"/>
          <w:i w:val="0"/>
          <w:color w:val="000000"/>
          <w:sz w:val="24"/>
        </w:rPr>
        <w:t>如果企业长期只做“按图施工、挣辛苦钱、比谁压价低”的低端总承包，议价权、利润和现金流都掌握在别人手里，行业一调整首先被挤压。毛泽东同志讲“独立自主、自力更生”，放到企业上就是不能把命脉完全交给低价竞争和单一业主。转型不是赶时髦，而是要培育别人难以替代的独特能力或服务，让企业从“可有可无的施工队”变成“缺了不行的能力提供者”。转型方向很多，但必须结合自身实力，用“试点—总结—推广”的节奏小步快跑，而不是一次性押注。</w:t>
      </w:r>
    </w:p>
    <w:p>
      <w:pPr>
        <w:pStyle w:val="sec_head"/>
      </w:pPr>
      <w:r>
        <w:t>17.2　转型的基本方向：逐条对照，看清各自要补什么</w:t>
      </w:r>
    </w:p>
    <w:p>
      <w:pPr>
        <w:spacing w:before="0" w:after="0" w:line="360" w:lineRule="auto"/>
        <w:ind w:firstLine="480"/>
        <w:jc w:val="both"/>
      </w:pPr>
      <w:r>
        <w:rPr>
          <w:rFonts w:ascii="Times New Roman" w:hAnsi="Times New Roman" w:eastAsia="宋体"/>
          <w:b w:val="0"/>
          <w:i w:val="0"/>
          <w:color w:val="000000"/>
          <w:sz w:val="24"/>
        </w:rPr>
        <w:t>结合行业趋势与施工企业实际，可重点研判以下方向（可行性逐行评估见附件17-1）：</w:t>
      </w:r>
    </w:p>
    <w:p>
      <w:pPr>
        <w:pStyle w:val="ListBullet"/>
        <w:spacing w:before="0" w:after="0" w:line="360" w:lineRule="auto"/>
        <w:ind w:firstLine="0" w:left="420"/>
        <w:jc w:val="both"/>
      </w:pPr>
      <w:r>
        <w:rPr>
          <w:rFonts w:ascii="Times New Roman" w:hAnsi="Times New Roman" w:eastAsia="宋体"/>
          <w:b w:val="0"/>
          <w:i w:val="0"/>
          <w:color w:val="000000"/>
          <w:sz w:val="24"/>
        </w:rPr>
        <w:t>装配式建筑：从现浇现场作业转向构件吊装、套筒灌浆与深化设计，核心是补深化设计能力、合格构件资源和持证吊装灌浆班组。</w:t>
      </w:r>
    </w:p>
    <w:p>
      <w:pPr>
        <w:pStyle w:val="ListBullet"/>
        <w:spacing w:before="0" w:after="0" w:line="360" w:lineRule="auto"/>
        <w:ind w:firstLine="0" w:left="420"/>
        <w:jc w:val="both"/>
      </w:pPr>
      <w:r>
        <w:rPr>
          <w:rFonts w:ascii="Times New Roman" w:hAnsi="Times New Roman" w:eastAsia="宋体"/>
          <w:b w:val="0"/>
          <w:i w:val="0"/>
          <w:color w:val="000000"/>
          <w:sz w:val="24"/>
        </w:rPr>
        <w:t>EPC及投建营一体化：从单纯施工延伸到设计采购施工总承甚至投资—建设—运营，核心是补设计协同、投融资与运营能力，资金和人才门槛高。</w:t>
      </w:r>
    </w:p>
    <w:p>
      <w:pPr>
        <w:pStyle w:val="ListBullet"/>
        <w:spacing w:before="0" w:after="0" w:line="360" w:lineRule="auto"/>
        <w:ind w:firstLine="0" w:left="420"/>
        <w:jc w:val="both"/>
      </w:pPr>
      <w:r>
        <w:rPr>
          <w:rFonts w:ascii="Times New Roman" w:hAnsi="Times New Roman" w:eastAsia="宋体"/>
          <w:b w:val="0"/>
          <w:i w:val="0"/>
          <w:color w:val="000000"/>
          <w:sz w:val="24"/>
        </w:rPr>
        <w:t>专业分包做精做专：不再什么都接，而是在机电、装饰、消防、基坑、模板等专业上做精做专，以技术和质量取胜于价格。</w:t>
      </w:r>
    </w:p>
    <w:p>
      <w:pPr>
        <w:pStyle w:val="ListBullet"/>
        <w:spacing w:before="0" w:after="0" w:line="360" w:lineRule="auto"/>
        <w:ind w:firstLine="0" w:left="420"/>
        <w:jc w:val="both"/>
      </w:pPr>
      <w:r>
        <w:rPr>
          <w:rFonts w:ascii="Times New Roman" w:hAnsi="Times New Roman" w:eastAsia="宋体"/>
          <w:b w:val="0"/>
          <w:i w:val="0"/>
          <w:color w:val="000000"/>
          <w:sz w:val="24"/>
        </w:rPr>
        <w:t>数字化／智慧工地：用项目管理系统、BIM、智慧工地平台提升管理效率和透明度，本身既是降本手段，也可对外输出服务。</w:t>
      </w:r>
    </w:p>
    <w:p>
      <w:pPr>
        <w:pStyle w:val="ListBullet"/>
        <w:spacing w:before="0" w:after="0" w:line="360" w:lineRule="auto"/>
        <w:ind w:firstLine="0" w:left="420"/>
        <w:jc w:val="both"/>
      </w:pPr>
      <w:r>
        <w:rPr>
          <w:rFonts w:ascii="Times New Roman" w:hAnsi="Times New Roman" w:eastAsia="宋体"/>
          <w:b w:val="0"/>
          <w:i w:val="0"/>
          <w:color w:val="000000"/>
          <w:sz w:val="24"/>
        </w:rPr>
        <w:t>绿色低碳：围绕绿色施工、绿色建筑评价（GB/T 50378-2019）、绿色施工规范（GB/T 50905-2014），积累四节一环保和低碳施工能力。</w:t>
      </w:r>
    </w:p>
    <w:p>
      <w:pPr>
        <w:pStyle w:val="ListBullet"/>
        <w:spacing w:before="0" w:after="0" w:line="360" w:lineRule="auto"/>
        <w:ind w:firstLine="0" w:left="420"/>
        <w:jc w:val="both"/>
      </w:pPr>
      <w:r>
        <w:rPr>
          <w:rFonts w:ascii="Times New Roman" w:hAnsi="Times New Roman" w:eastAsia="宋体"/>
          <w:b w:val="0"/>
          <w:i w:val="0"/>
          <w:color w:val="000000"/>
          <w:sz w:val="24"/>
        </w:rPr>
        <w:t>存量改造与运维：在城市更新、老旧小区、既有建筑改造及后期运维中寻找需求，区别于大拆大建的增量市场。</w:t>
      </w:r>
    </w:p>
    <w:p>
      <w:pPr>
        <w:pStyle w:val="ListBullet"/>
        <w:spacing w:before="0" w:after="0" w:line="360" w:lineRule="auto"/>
        <w:ind w:firstLine="0" w:left="420"/>
        <w:jc w:val="both"/>
      </w:pPr>
      <w:r>
        <w:rPr>
          <w:rFonts w:ascii="Times New Roman" w:hAnsi="Times New Roman" w:eastAsia="宋体"/>
          <w:b w:val="0"/>
          <w:i w:val="0"/>
          <w:color w:val="000000"/>
          <w:sz w:val="24"/>
        </w:rPr>
        <w:t>海外工程：在资质、国际工程承包经验、汇率与风险管控具备条件时审慎拓展，切忌在无人才、无渠道时盲目出海。</w:t>
      </w:r>
    </w:p>
    <w:p>
      <w:pPr>
        <w:pStyle w:val="sec_head"/>
      </w:pPr>
      <w:r>
        <w:t>17.3　转型的能力差距与门槛</w:t>
      </w:r>
    </w:p>
    <w:p>
      <w:pPr>
        <w:spacing w:before="0" w:after="0" w:line="360" w:lineRule="auto"/>
        <w:ind w:firstLine="480"/>
        <w:jc w:val="both"/>
      </w:pPr>
      <w:r>
        <w:rPr>
          <w:rFonts w:ascii="Times New Roman" w:hAnsi="Times New Roman" w:eastAsia="宋体"/>
          <w:b w:val="0"/>
          <w:i w:val="0"/>
          <w:color w:val="000000"/>
          <w:sz w:val="24"/>
        </w:rPr>
        <w:t>每一个转型方向都要先回答“我们缺什么”：缺资质、缺设计能力、缺核心人才、缺设备、缺资金、缺渠道、缺管理经验，逐项列清（见附件17-1“能力差距”列）。能在短期内补的（如培训、小设备、试点项目）可以先行；需要长期积累和大额投入的（如设计资质、投融资能力、海外网络）先储备、不冒进。转型不是推倒重来，而是在现有优势（施工组织、现场管理、安全质量管控）上延伸，尽量复用原有队伍和客户。</w:t>
      </w:r>
    </w:p>
    <w:p>
      <w:pPr>
        <w:pStyle w:val="sec_head"/>
      </w:pPr>
      <w:r>
        <w:t>17.4　“试点—总结—推广”的节奏：星星之火，可以燎原</w:t>
      </w:r>
    </w:p>
    <w:p>
      <w:pPr>
        <w:spacing w:before="0" w:after="0" w:line="360" w:lineRule="auto"/>
        <w:ind w:firstLine="480"/>
        <w:jc w:val="both"/>
      </w:pPr>
      <w:r>
        <w:rPr>
          <w:rFonts w:ascii="Times New Roman" w:hAnsi="Times New Roman" w:eastAsia="宋体"/>
          <w:b w:val="0"/>
          <w:i w:val="0"/>
          <w:color w:val="000000"/>
          <w:sz w:val="24"/>
        </w:rPr>
        <w:t>新模式不要一上来就全面铺开。正确节奏是：先选一个小项目、小范围试点，把工艺、成本、盈利、风险跑通；再召开总结会，把行得通的做法标准化、把踩过的坑记下来；最后才在多个项目推广。试点项目要设明确的成功标准和止损线，达不到标准及时收手，不因“已经投了钱”而硬撑。这既是《论持久战》相持阶段“小额试点、积蓄力量”的延续，也符合“星星之火，可以燎原”的成长规律。</w:t>
      </w:r>
    </w:p>
    <w:p>
      <w:pPr>
        <w:pStyle w:val="sec_head"/>
      </w:pPr>
      <w:r>
        <w:t>17.5　风险与投入控制：不盲目追风口</w:t>
      </w:r>
    </w:p>
    <w:p>
      <w:pPr>
        <w:spacing w:before="0" w:after="0" w:line="360" w:lineRule="auto"/>
        <w:ind w:firstLine="480"/>
        <w:jc w:val="both"/>
      </w:pPr>
      <w:r>
        <w:rPr>
          <w:rFonts w:ascii="Times New Roman" w:hAnsi="Times New Roman" w:eastAsia="宋体"/>
          <w:b w:val="0"/>
          <w:i w:val="0"/>
          <w:color w:val="000000"/>
          <w:sz w:val="24"/>
        </w:rPr>
        <w:t>转型最容易犯的错误是看什么热追什么。每个方向的前期投入（资金、人才、设备）都要设上限，控制在企业可承受、不影响基本盘现金流的范围内；对需要大额垫资或长期回报的投建营、海外等方向，要特别评估资金链和合规风险。安全、质量、合规是所有转型的前提，绝不能为了新模式降低安全标准、借用资质或转包违法分包（《建筑法》第二十六条、第二十八条明令禁止）。</w:t>
      </w:r>
    </w:p>
    <w:p>
      <w:pPr>
        <w:pStyle w:val="sec_head"/>
      </w:pPr>
      <w:r>
        <w:t>17.6　转型决策机制</w:t>
      </w:r>
    </w:p>
    <w:p>
      <w:pPr>
        <w:spacing w:before="0" w:after="0" w:line="360" w:lineRule="auto"/>
        <w:ind w:firstLine="480"/>
        <w:jc w:val="both"/>
      </w:pPr>
      <w:r>
        <w:rPr>
          <w:rFonts w:ascii="Times New Roman" w:hAnsi="Times New Roman" w:eastAsia="宋体"/>
          <w:b w:val="0"/>
          <w:i w:val="0"/>
          <w:color w:val="000000"/>
          <w:sz w:val="24"/>
        </w:rPr>
        <w:t>转型方向的进入、储备、放弃实行集体评审、留痕决策（见附件17-1“决策结论”列）：“先行”方向立即启动试点并配资源；“储备”方向列入观察名单、保持跟踪、小步准备；“放弃”方向明确退出、不再投入。每半年复评一次，根据试点结果和外部环境动态调整，形成“评估—试点—总结—推广／止损”的闭环。</w:t>
      </w:r>
    </w:p>
    <w:p>
      <w:pPr>
        <w:spacing w:before="20" w:after="80" w:line="288" w:lineRule="auto"/>
        <w:ind w:firstLine="0"/>
        <w:jc w:val="left"/>
      </w:pPr>
      <w:r>
        <w:rPr>
          <w:rFonts w:ascii="Times New Roman" w:hAnsi="Times New Roman" w:eastAsia="宋体"/>
          <w:b w:val="0"/>
          <w:i w:val="0"/>
          <w:color w:val="404040"/>
          <w:sz w:val="18"/>
        </w:rPr>
        <w:t>依据：《中华人民共和国建筑法》（2019年修正）第二十六条、第二十八条；《建筑工程绿色建筑评价标准》GB/T 50378-2019、《建筑工程绿色施工规范》GB/T 50905-2014；各方向的资质、标准、计价与环保要求以现行法规、标准及项目所在地规定为准。</w:t>
      </w:r>
    </w:p>
    <w:p>
      <w:pPr>
        <w:pStyle w:val="attach_div"/>
        <w:pageBreakBefore/>
        <w:jc w:val="center"/>
      </w:pPr>
      <w:r>
        <w:t>第17章　章末附件</w:t>
      </w:r>
    </w:p>
    <w:p>
      <w:pPr>
        <w:spacing w:before="0" w:after="0" w:line="360" w:lineRule="auto"/>
        <w:ind w:firstLine="480"/>
        <w:jc w:val="both"/>
      </w:pPr>
      <w:r>
        <w:rPr>
          <w:rFonts w:ascii="Times New Roman" w:hAnsi="Times New Roman" w:eastAsia="宋体"/>
          <w:b w:val="0"/>
          <w:i w:val="0"/>
          <w:color w:val="000000"/>
          <w:sz w:val="24"/>
        </w:rPr>
        <w:t>本页之后为《转型突围：从“低端承包”向“能力＋服务”突围》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47" w:name="_LarkToc00147"/>
      <w:r>
        <w:t>附件17-1　转型方向可行性评估表</w:t>
      </w:r>
      <w:bookmarkEnd w:id="147"/>
    </w:p>
    <w:p>
      <w:pPr>
        <w:spacing w:before="0" w:after="40" w:line="312" w:lineRule="auto"/>
        <w:ind w:firstLine="0"/>
        <w:jc w:val="left"/>
      </w:pPr>
      <w:r>
        <w:rPr>
          <w:rFonts w:ascii="Times New Roman" w:hAnsi="Times New Roman" w:eastAsia="宋体"/>
          <w:b w:val="0"/>
          <w:i w:val="0"/>
          <w:color w:val="595959"/>
          <w:sz w:val="18"/>
        </w:rPr>
        <w:t>【归属】第17章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【用途】由经营、技术、财务、人力联合评估，每个方向逐行填写能力差距、投入、风险、收益与试点路径，最后集体给出“先行／储备／放弃”结论；示范行用后删除。</w:t>
      </w:r>
    </w:p>
    <w:p>
      <w:pPr>
        <w:keepNext/>
        <w:spacing w:before="80" w:after="40" w:line="288" w:lineRule="auto"/>
        <w:ind w:firstLine="0"/>
        <w:jc w:val="center"/>
      </w:pPr>
      <w:r>
        <w:rPr>
          <w:rFonts w:ascii="Times New Roman" w:hAnsi="Times New Roman" w:eastAsia="黑体"/>
          <w:b/>
          <w:i w:val="0"/>
          <w:color w:val="000000"/>
          <w:sz w:val="21"/>
        </w:rPr>
        <w:t>表17-1　转型方向可行性评估表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转型方向</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能力差距（缺什么）</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前期投入（资金/人才/设备，量级口径）</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主要风险</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预期收益（定性或区间）</w:t>
            </w:r>
          </w:p>
        </w:tc>
        <w:tc>
          <w:tcPr>
            <w:tcW w:type="dxa" w:w="119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试点路径（先做什么小项目）</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决策结论</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装配式建筑</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缺深化设计能力、持证吊装灌浆班组、稳定构件厂</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设备数十万元至百万元级；深化设计师2—3人</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构件供应不稳、灌浆质量通病</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毛利率较现浇高约2—5个百分点（定性，以实测为准）</w:t>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先接1个小型PC公建项目做样板</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储备</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装配式建筑</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□先行□储备□放弃</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EPC及投建营一体化</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□先行□储备□放弃</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专业分包做精做专（机电/装饰/消防等）</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□先行□储备□放弃</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数字化／智慧工地</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□先行□储备□放弃</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绿色低碳（绿色施工/绿色建筑）</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□先行□储备□放弃</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存量改造与运维</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□先行□储备□放弃</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海外工程</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□先行□储备□放弃</w:t>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表中“前期投入”仅为量级口径（如数十万元、百万元、千万元级），须结合企业实力量力而行，单项试点投入不得突破企业自定上限；“预期收益”为定性或区间描述，不确定的数字一律以专项调研、可行性论证和试点实测为准，不写死无依据的收益承诺或市场规模。涉及资质、标准、环保、计价与海外合规的，以现行法规、标准、项目所在地规定及合同专用条款为准；示例行用后删除。</w:t>
      </w:r>
    </w:p>
    <w:p>
      <w:pPr>
        <w:pStyle w:val="Heading3"/>
        <w:pageBreakBefore/>
        <w:spacing w:before="120"/>
      </w:pPr>
      <w:bookmarkStart w:id="148" w:name="_LarkToc00148"/>
      <w:r>
        <w:t>附件17-2　转型试点项目立项与复盘表</w:t>
      </w:r>
      <w:bookmarkEnd w:id="148"/>
    </w:p>
    <w:p>
      <w:pPr>
        <w:spacing w:before="0" w:after="40" w:line="312" w:lineRule="auto"/>
        <w:ind w:firstLine="0"/>
        <w:jc w:val="left"/>
      </w:pPr>
      <w:r>
        <w:rPr>
          <w:rFonts w:ascii="Times New Roman" w:hAnsi="Times New Roman" w:eastAsia="宋体"/>
          <w:b w:val="0"/>
          <w:i w:val="0"/>
          <w:color w:val="595959"/>
          <w:sz w:val="18"/>
        </w:rPr>
        <w:t>【归属】第17章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【用途】每个转型试点项目立项时填写立项目标和指标，阶段结束后对照复盘，形成“试点—总结—推广／止损”闭环。标注“（示例）”的行用后删除。</w:t>
      </w:r>
    </w:p>
    <w:p>
      <w:pPr>
        <w:keepNext/>
        <w:spacing w:before="80" w:after="40" w:line="288" w:lineRule="auto"/>
        <w:ind w:firstLine="0"/>
        <w:jc w:val="center"/>
      </w:pPr>
      <w:r>
        <w:rPr>
          <w:rFonts w:ascii="Times New Roman" w:hAnsi="Times New Roman" w:eastAsia="黑体"/>
          <w:b/>
          <w:i w:val="0"/>
          <w:color w:val="000000"/>
          <w:sz w:val="21"/>
        </w:rPr>
        <w:t>表17-2　转型试点项目立项与复盘表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试点名称</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转型方向</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立项目标／指标</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投入资源</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关键节点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阶段结果</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偏差与原因</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是否推广</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（示例）XX装配式PC样板段</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装配式建筑</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工期较现浇缩短约10%、吊装灌浆一次验收合格、毛利率不低于现浇2个百分点</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深化设计师2人、吊装班组约10人、投入约80.00万元</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方案深化→构件首件→样板吊装→验收复盘</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样板段按期完成、灌浆验收合格、毛利率达标</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构件到场延迟约5天，因构件厂排产紧张</w:t>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是，成熟后推广</w:t>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试点立项即应明确可量化的成功标准和止损线，投入资源控制在企业自定上限内，不得影响基本盘现金流；阶段结果对照立项目标逐项复盘，偏差须分析原因。标注“（示例）”的行用后删除；是否推广由集体评审决定，不达预期及时止损，具体指标按企业转型规划和试点实测为准。</w:t>
      </w:r>
    </w:p>
    <w:p>
      <w:pPr>
        <w:pStyle w:val="Heading2"/>
        <w:pageBreakBefore/>
      </w:pPr>
      <w:bookmarkStart w:id="22" w:name="_LarkToc00022"/>
      <w:r>
        <w:t>第18章　安全质量底线：一票否决的“根据地”</w:t>
      </w:r>
      <w:bookmarkEnd w:id="22"/>
    </w:p>
    <w:p>
      <w:pPr>
        <w:pStyle w:val="sec_head"/>
      </w:pPr>
      <w:r>
        <w:t>18.1　为什么安全质量是一票否决的“根据地”</w:t>
      </w:r>
    </w:p>
    <w:p>
      <w:pPr>
        <w:spacing w:before="0" w:after="0" w:line="360" w:lineRule="auto"/>
        <w:ind w:firstLine="480"/>
        <w:jc w:val="both"/>
      </w:pPr>
      <w:r>
        <w:rPr>
          <w:rFonts w:ascii="Times New Roman" w:hAnsi="Times New Roman" w:eastAsia="宋体"/>
          <w:b w:val="0"/>
          <w:i w:val="0"/>
          <w:color w:val="000000"/>
          <w:sz w:val="24"/>
        </w:rPr>
        <w:t>毛泽东同志讲“保存自己、消灭敌人”，又讲“失地必危、存地失人，人地皆失；存人失地，人地皆存”。对施工企业而言，安全质量就是那个必须保住的“人”和“根据地”，进度、利润、产值都是“地”。根据地丢了，一切战果都守不住。要树立底线思维和极限思维：把最坏的情况想在前、把最危险的场景推演透，宁可十防九空，不可失防万一。安全质量既是政治账也是经济账——一旦发生事故或重大质量问题，停产整顿、罚款、赔偿、资质受限、负责人被追责，所谓进度和利润全部归零，多年积累的市场信誉也会一朝崩塌。因此，任何时候都不得以抢工期、降成本、赶节点为由突破安全质量底线。</w:t>
      </w:r>
    </w:p>
    <w:p>
      <w:pPr>
        <w:pStyle w:val="sec_head"/>
      </w:pPr>
      <w:r>
        <w:t>18.2　安全侧底线红线：把“禁不得”的事一件件列出来</w:t>
      </w:r>
    </w:p>
    <w:p>
      <w:pPr>
        <w:spacing w:before="0" w:after="0" w:line="360" w:lineRule="auto"/>
        <w:ind w:firstLine="480"/>
        <w:jc w:val="both"/>
      </w:pPr>
      <w:r>
        <w:rPr>
          <w:rFonts w:ascii="Times New Roman" w:hAnsi="Times New Roman" w:eastAsia="宋体"/>
          <w:b w:val="0"/>
          <w:i w:val="0"/>
          <w:color w:val="000000"/>
          <w:sz w:val="24"/>
        </w:rPr>
        <w:t>安全红线是带电的“高压线”，碰了就是事故。项目现场必须明确以下禁止性、强制性要求：安全生产费用必须足额提取、专款专用，严禁挪用；危大工程必须编制专项施工方案并按规定编审签字，超过一定规模的必须组织不少于5名专家论证，严禁无方案、无论证冒险施工；每道工序施工前必须进行安全技术交底，严禁未交底、无防护冒险作业；查出的重大隐患必须停工整改，严禁带着重大隐患继续施工；特种设备（塔吊、施工升降机等）必须经检测、验收、登记合格后方可使用，严禁未检先用、带病运行；不具备安全生产条件不得强行开工，严禁盲目抢工期、超能力组织生产；发生事故必须按规定时限报告，严禁迟报、漏报、谎报、瞒报，严禁故意破坏事故现场、毁灭证据。</w:t>
      </w:r>
    </w:p>
    <w:p>
      <w:pPr>
        <w:pStyle w:val="sec_head"/>
      </w:pPr>
      <w:r>
        <w:t>18.3　质量侧底线红线：一次做对，关键部位绝不能造假</w:t>
      </w:r>
    </w:p>
    <w:p>
      <w:pPr>
        <w:spacing w:before="0" w:after="0" w:line="360" w:lineRule="auto"/>
        <w:ind w:firstLine="480"/>
        <w:jc w:val="both"/>
      </w:pPr>
      <w:r>
        <w:rPr>
          <w:rFonts w:ascii="Times New Roman" w:hAnsi="Times New Roman" w:eastAsia="宋体"/>
          <w:b w:val="0"/>
          <w:i w:val="0"/>
          <w:color w:val="000000"/>
          <w:sz w:val="24"/>
        </w:rPr>
        <w:t>质量红线同样不可触碰。严禁偷工减料、以次充好；严禁使用不合格的建筑材料、构配件和设备，材料必须先检验后使用；上道工序未经验收合格，严禁进入下道工序施工；地基基础、主体结构等关键部位严禁弄虚作假、缩水降标；必须按图施工、按强制性标准施工，严禁擅自修改设计、违反强制性条文。工程质量实行终身责任制，地基基础和主体结构在设计合理使用年限内承担责任，防水工程最低保修5年，电气管线、给排水管道、设备安装和装修工程最低保修2年。质量上的省心事，最后都会变成验收和保修时的麻烦事。</w:t>
      </w:r>
    </w:p>
    <w:p>
      <w:pPr>
        <w:spacing w:before="20" w:after="80" w:line="288" w:lineRule="auto"/>
        <w:ind w:firstLine="0"/>
        <w:jc w:val="left"/>
      </w:pPr>
      <w:r>
        <w:rPr>
          <w:rFonts w:ascii="Times New Roman" w:hAnsi="Times New Roman" w:eastAsia="宋体"/>
          <w:b w:val="0"/>
          <w:i w:val="0"/>
          <w:color w:val="404040"/>
          <w:sz w:val="18"/>
        </w:rPr>
        <w:t>依据：《中华人民共和国建筑法》（2019年修正）；《建设工程质量管理条例》（国务院令第714号，2019年修订）第四十条最低保修期限；《建筑工程施工质量验收统一标准》GB 50300-2013。</w:t>
      </w:r>
    </w:p>
    <w:p>
      <w:pPr>
        <w:pStyle w:val="sec_head"/>
      </w:pPr>
      <w:r>
        <w:t>18.4　一票否决：出了底线问题，一切评优晋级都免谈</w:t>
      </w:r>
    </w:p>
    <w:p>
      <w:pPr>
        <w:spacing w:before="0" w:after="0" w:line="360" w:lineRule="auto"/>
        <w:ind w:firstLine="480"/>
        <w:jc w:val="both"/>
      </w:pPr>
      <w:r>
        <w:rPr>
          <w:rFonts w:ascii="Times New Roman" w:hAnsi="Times New Roman" w:eastAsia="宋体"/>
          <w:b w:val="0"/>
          <w:i w:val="0"/>
          <w:color w:val="000000"/>
          <w:sz w:val="24"/>
        </w:rPr>
        <w:t>“一票否决”就是把安全质量作为评价项目、评价干部的前置刚性条件：凡发生因工死亡事故、重大及以上质量事故、被主管部门通报批评或行政处罚、存在重大隐患拒不整改的，该项目及相关责任人当年不得评先评优、不得晋升晋级、不得兑现绩效奖励、不得提拔任用，已获得的荣誉和称号按规定撤销。一票否决不是为了管人，而是用最硬的指挥棒，把“安全质量第一”从口号变成每个岗位都不敢碰的真约束。具体否决情形与后果见附件18-1表18-2。</w:t>
      </w:r>
    </w:p>
    <w:p>
      <w:pPr>
        <w:pStyle w:val="sec_head"/>
      </w:pPr>
      <w:r>
        <w:t>18.5　领导责任与“一岗双责”：管业务必须管安全</w:t>
      </w:r>
    </w:p>
    <w:p>
      <w:pPr>
        <w:spacing w:before="0" w:after="0" w:line="360" w:lineRule="auto"/>
        <w:ind w:firstLine="480"/>
        <w:jc w:val="both"/>
      </w:pPr>
      <w:r>
        <w:rPr>
          <w:rFonts w:ascii="Times New Roman" w:hAnsi="Times New Roman" w:eastAsia="宋体"/>
          <w:b w:val="0"/>
          <w:i w:val="0"/>
          <w:color w:val="000000"/>
          <w:sz w:val="24"/>
        </w:rPr>
        <w:t>安全生产人人有责，但首先是领导有责。要落实“管行业必须管安全、管业务必须管安全、管生产经营必须管安全”和“一岗双责”：项目经理是项目安全生产第一责任人，对项目安全质量负总责；项目书记、技术负责人、生产经理、安全总监、质量负责人在各自业务范围内同时承担安全质量责任，抓生产必须同时抓安全，抓进度必须同时保质量。要建立全员安全生产责任制，层层签订安全生产责任书，把责任压实到岗、到人，做到“谁主管、谁负责，谁在岗、谁负责”。</w:t>
      </w:r>
    </w:p>
    <w:p>
      <w:pPr>
        <w:spacing w:before="20" w:after="80" w:line="288" w:lineRule="auto"/>
        <w:ind w:firstLine="0"/>
        <w:jc w:val="left"/>
      </w:pPr>
      <w:r>
        <w:rPr>
          <w:rFonts w:ascii="Times New Roman" w:hAnsi="Times New Roman" w:eastAsia="宋体"/>
          <w:b w:val="0"/>
          <w:i w:val="0"/>
          <w:color w:val="404040"/>
          <w:sz w:val="18"/>
        </w:rPr>
        <w:t>依据：《中华人民共和国安全生产法》（2021年修正，主席令第88号）第二十三条：生产经营单位应当保证安全生产所必需的资金投入，安全生产费用专款专用、据实列支，建立健全全员安全生产责任制。</w:t>
      </w:r>
    </w:p>
    <w:p>
      <w:pPr>
        <w:pStyle w:val="sec_head"/>
      </w:pPr>
      <w:r>
        <w:t>18.6　安全生产费用：足额计提、专款专用，是底线也是投入</w:t>
      </w:r>
    </w:p>
    <w:p>
      <w:pPr>
        <w:spacing w:before="0" w:after="0" w:line="360" w:lineRule="auto"/>
        <w:ind w:firstLine="480"/>
        <w:jc w:val="both"/>
      </w:pPr>
      <w:r>
        <w:rPr>
          <w:rFonts w:ascii="Times New Roman" w:hAnsi="Times New Roman" w:eastAsia="宋体"/>
          <w:b w:val="0"/>
          <w:i w:val="0"/>
          <w:color w:val="000000"/>
          <w:sz w:val="24"/>
        </w:rPr>
        <w:t>安全投入不是成本，是保命钱。房屋建筑工程按建筑安装工程造价的百分之三计提安全生产费用，月末按工程进度据实计提，专项用于完善和改造安全防护设施、隐患排查治理、安全教育培训、应急演练与应急物资、安全检测评价等，不得挪作他用，不得作为竞争性费用下浮。安全费用的计提与使用要建立台账、凭证齐全，接受企业内部和主管部门检查。省下来的那点安全费，远抵不上一次事故的零头。</w:t>
      </w:r>
    </w:p>
    <w:p>
      <w:pPr>
        <w:spacing w:before="20" w:after="80" w:line="288" w:lineRule="auto"/>
        <w:ind w:firstLine="0"/>
        <w:jc w:val="left"/>
      </w:pPr>
      <w:r>
        <w:rPr>
          <w:rFonts w:ascii="Times New Roman" w:hAnsi="Times New Roman" w:eastAsia="宋体"/>
          <w:b w:val="0"/>
          <w:i w:val="0"/>
          <w:color w:val="404040"/>
          <w:sz w:val="18"/>
        </w:rPr>
        <w:t>依据：《企业安全生产费用提取和使用管理办法》（财资〔2022〕136号）第十七条：房屋建筑、铁路、城市轨道交通工程按建筑安装工程造价3%计提；《建设工程安全生产管理条例》（国务院令第393号）第二十二条：施工单位对列入建设工程概算的安全作业环境及安全施工措施所需费用，应当专款专用，不得挪作他用。</w:t>
      </w:r>
    </w:p>
    <w:p>
      <w:pPr>
        <w:pStyle w:val="sec_head"/>
      </w:pPr>
      <w:r>
        <w:t>18.7　承诺签署与公示：把底线亮在明处</w:t>
      </w:r>
    </w:p>
    <w:p>
      <w:pPr>
        <w:spacing w:before="0" w:after="0" w:line="360" w:lineRule="auto"/>
        <w:ind w:firstLine="480"/>
        <w:jc w:val="both"/>
      </w:pPr>
      <w:r>
        <w:rPr>
          <w:rFonts w:ascii="Times New Roman" w:hAnsi="Times New Roman" w:eastAsia="宋体"/>
          <w:b w:val="0"/>
          <w:i w:val="0"/>
          <w:color w:val="000000"/>
          <w:sz w:val="24"/>
        </w:rPr>
        <w:t>项目开工前，项目经理、书记、技术负责人、安全总监、质量负责人要逐级签署安全质量底线承诺书，明确承诺事项和违诺责任，并在项目部公示栏、作业区入口公示，接受全体作业人员和社会监督。承诺不是走形式，而是把红线变成每个人签字画押的责任。一旦底线失守，除依法依规承担行政、民事乃至刑事责任外，企业内部还要按责任书追责到人，绝不搞“集体负责等于无人负责”。</w:t>
      </w:r>
    </w:p>
    <w:p>
      <w:pPr>
        <w:pStyle w:val="attach_div"/>
        <w:pageBreakBefore/>
        <w:jc w:val="center"/>
      </w:pPr>
      <w:r>
        <w:t>第18章　章末附件</w:t>
      </w:r>
    </w:p>
    <w:p>
      <w:pPr>
        <w:spacing w:before="0" w:after="0" w:line="360" w:lineRule="auto"/>
        <w:ind w:firstLine="480"/>
        <w:jc w:val="both"/>
      </w:pPr>
      <w:r>
        <w:rPr>
          <w:rFonts w:ascii="Times New Roman" w:hAnsi="Times New Roman" w:eastAsia="宋体"/>
          <w:b w:val="0"/>
          <w:i w:val="0"/>
          <w:color w:val="000000"/>
          <w:sz w:val="24"/>
        </w:rPr>
        <w:t>本页之后为《安全质量底线：一票否决的“根据地”》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49" w:name="_LarkToc00149"/>
      <w:r>
        <w:t>附件18-1　安全质量底线红线与一票否决表</w:t>
      </w:r>
      <w:bookmarkEnd w:id="149"/>
    </w:p>
    <w:p>
      <w:pPr>
        <w:spacing w:before="0" w:after="40" w:line="312" w:lineRule="auto"/>
        <w:ind w:firstLine="0"/>
        <w:jc w:val="left"/>
      </w:pPr>
      <w:r>
        <w:rPr>
          <w:rFonts w:ascii="Times New Roman" w:hAnsi="Times New Roman" w:eastAsia="宋体"/>
          <w:b w:val="0"/>
          <w:i w:val="0"/>
          <w:color w:val="595959"/>
          <w:sz w:val="18"/>
        </w:rPr>
        <w:t>【归属】第18章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组织，安全总监、质量负责人共同梳理，作为项目安全质量交底、日常检查和考核追责的依据。红线行为一经触碰，立即停工整改并启动追责；表中“示例”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表18-1　安全质量红线行为清单（禁止性、强制性条款）</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领域</w:t>
            </w:r>
          </w:p>
        </w:tc>
        <w:tc>
          <w:tcPr>
            <w:tcW w:type="dxa" w:w="317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红线行为（禁止性/强制性）</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依据（法规/标准号）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违反后果</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（示例）挪用、挤占安全生产费用，或安全费未足额计提</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安全生产法第23条；国务院令第393号第22条</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责令整改、追责，情节严重处罚</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安全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危大工程未编制专项方案，或超过一定规模未组织专家论证（专家≥5名）即施工</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住建部令第37号；国务院令第393号第26条</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停工整改、行政处罚</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安全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未进行安全技术交底即安排冒险作业</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国务院令第393号；JGJ 59-2011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立即制止、停工、追责</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安全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查出重大隐患不整改、继续组织施工</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安全生产法（2021修正）</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停工整顿、追责</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安全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特种设备未检测、未验收、未登记即投入使用</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特种设备安全相关规定；JGJ 59-2011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停用、处罚、追责</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安全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不具备安全生产条件强行开工，或盲目抢工期、超能力组织生产</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安全生产法（2021修正）</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停工、追责</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安全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事故发生后迟报、漏报、谎报、瞒报，或故意破坏现场</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国务院令第493号第9条</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从重追责，涉嫌犯罪移送</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质量</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偷工减料、以次充好，擅自降低质量标准</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建筑法（2019修正）；国务院令第714号</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返工、处罚、记入信用</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质量</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使用未经检验或不合格的材料、构配件、设备</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建筑法；GB 50300-2013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清退、返工、追责</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质量</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上道工序未经验收合格即进入下道工序</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GB 50300-2013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停工、返工</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质量</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地基基础、主体结构等关键部位弄虚作假、缩水降标</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建筑法；国务院令第714号</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终身追责、处罚</w:t>
            </w:r>
          </w:p>
        </w:tc>
      </w:tr>
      <w:tr>
        <w:trPr>
          <w:cantSplit/>
        </w:trPr>
        <w:tc>
          <w:tcPr>
            <w:tcW w:type="dxa" w:w="680"/>
            <w:shd w:val="clear" w:color="auto" w:fill="C0000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FFFFFF"/>
                <w:sz w:val="17"/>
              </w:rPr>
              <w:t>质量</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未按图施工、违反工程建设强制性标准</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建筑法；GB 50300-2013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停工整改、处罚</w:t>
            </w:r>
          </w:p>
        </w:tc>
      </w:tr>
    </w:tbl>
    <w:p>
      <w:pPr>
        <w:keepNext/>
        <w:spacing w:before="80" w:after="40" w:line="288" w:lineRule="auto"/>
        <w:ind w:firstLine="0"/>
        <w:jc w:val="center"/>
      </w:pPr>
      <w:r>
        <w:rPr>
          <w:rFonts w:ascii="Times New Roman" w:hAnsi="Times New Roman" w:eastAsia="黑体"/>
          <w:b/>
          <w:i w:val="0"/>
          <w:color w:val="000000"/>
          <w:sz w:val="21"/>
        </w:rPr>
        <w:t>表18-2　一票否决情形与领导责任</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一票否决情形</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否决后果（评优/晋级/绩效/任用）</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领导责任层级</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责任岗位</w:t>
            </w:r>
          </w:p>
        </w:tc>
      </w:tr>
      <w:tr>
        <w:trPr>
          <w:cantSplit/>
        </w:trPr>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（示例）发生因工死亡生产安全事故</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当年不得评先评优、不得晋级、绩效一票否决、不得提拔</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项目级第一责任</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发生重大及以上工程质量事故</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项目及责任人荣誉撤销、绩效否决、限期不得任用</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项目级首要责任</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项目经理、技术负责人</w:t>
            </w:r>
          </w:p>
        </w:tc>
      </w:tr>
      <w:tr>
        <w:trPr>
          <w:cantSplit/>
        </w:trPr>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存在重大隐患被主管部门责令停工仍拒不整改</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取消年度评优、扣减绩效、约谈问责</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分管领导责任</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生产经理、安全总监</w:t>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危大工程无论证施工或发生坍塌等险情</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责任人不得晋升、当年绩效降档</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技术领导责任</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技术负责人、安全总监</w:t>
            </w:r>
          </w:p>
        </w:tc>
      </w:tr>
      <w:tr>
        <w:trPr>
          <w:cantSplit/>
        </w:trPr>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迟报、瞒报事故或破坏事故现场</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从重追责、情节严重移送司法</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第一责任</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Pr>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发生重大质量投诉、被媒体曝光造成恶劣影响</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项目评优一票否决、责任人问责</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分管责任</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质量负责人、项目经理</w:t>
            </w:r>
          </w:p>
        </w:tc>
      </w:tr>
      <w:tr>
        <w:trPr>
          <w:cantSplit/>
        </w:trPr>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安全费用挪用、安全投入严重不足</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约谈、扣减绩效、限期整改</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主管责任</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项目经理、财务负责人</w:t>
            </w:r>
          </w:p>
        </w:tc>
      </w:tr>
      <w:tr>
        <w:trPr>
          <w:cantSplit/>
          <w:trHeight w:val="396" w:hRule="atLeast"/>
        </w:trPr>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注：否决后果的具体幅度（扣减比例、影响年限）按企业绩效考核与干部任用制度执行；事故等级按《生产安全事故报告和调查处理条例》（国务院令第493号）第三条划分。</w:t>
      </w:r>
    </w:p>
    <w:p>
      <w:pPr>
        <w:keepNext/>
        <w:spacing w:before="80" w:after="40" w:line="288" w:lineRule="auto"/>
        <w:ind w:firstLine="0"/>
        <w:jc w:val="center"/>
      </w:pPr>
      <w:r>
        <w:rPr>
          <w:rFonts w:ascii="Times New Roman" w:hAnsi="Times New Roman" w:eastAsia="黑体"/>
          <w:b/>
          <w:i w:val="0"/>
          <w:color w:val="000000"/>
          <w:sz w:val="21"/>
        </w:rPr>
        <w:t>表18-3　安全质量底线承诺签署表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36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承诺事项（逐项打勾确认）</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项目经理</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书记/技术负责人</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安全/质量负责人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r>
      <w:tr>
        <w:trPr>
          <w:cantSplit/>
        </w:trPr>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（示例）足额计提并专款专用安全生产费用，不挪用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危大工程先方案、先论证、先交底后施工，不冒险作业</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重大隐患不整改不施工，坚决停工不带病作业</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材料先检验后使用，不合格材料坚决清退</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上道工序不验收合格不进入下道工序</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按图施工、按强制性标准施工，关键部位不造假</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不盲目抢工、不超能力组织生产</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事故按规定1小时内如实报告，不瞒报、不破坏现场</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□承诺</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中华人民共和国安全生产法》（2021年修正）、《中华人民共和国建筑法》（2019年修正）、《建设工程安全生产管理条例》（国务院令第393号）、《建设工程质量管理条例》（国务院令第714号）、《生产安全事故报告和调查处理条例》（国务院令第493号）、《危险性较大的分部分项工程安全管理规定》（住建部令第37号）、《企业安全生产费用提取和使用管理办法》（财资〔2022〕136号）、《建筑工程施工质量验收统一标准》GB 50300-2013、《建筑施工安全检查标准》JGJ 59-2011；具体执行以现行法规、标准、项目所在地主管部门规定及合同专用条款为准。</w:t>
      </w:r>
    </w:p>
    <w:p>
      <w:pPr>
        <w:pStyle w:val="Heading3"/>
        <w:pageBreakBefore/>
        <w:spacing w:before="120"/>
      </w:pPr>
      <w:bookmarkStart w:id="150" w:name="_LarkToc00150"/>
      <w:r>
        <w:t>附件18-2　安全质量责任清单与领导履职记录表</w:t>
      </w:r>
      <w:bookmarkEnd w:id="150"/>
    </w:p>
    <w:p>
      <w:pPr>
        <w:spacing w:before="0" w:after="40" w:line="312" w:lineRule="auto"/>
        <w:ind w:firstLine="0"/>
        <w:jc w:val="left"/>
      </w:pPr>
      <w:r>
        <w:rPr>
          <w:rFonts w:ascii="Times New Roman" w:hAnsi="Times New Roman" w:eastAsia="宋体"/>
          <w:b w:val="0"/>
          <w:i w:val="0"/>
          <w:color w:val="595959"/>
          <w:sz w:val="18"/>
        </w:rPr>
        <w:t>【归属】第18章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【用途】由项目经理组织，对照“一岗双责”逐岗明确安全质量责任事项、履职要求和频次，并如实记录带班检查、隐患整改、安全会议等履职情况。标注“（示例）”的行用后删除。</w:t>
      </w:r>
    </w:p>
    <w:p>
      <w:pPr>
        <w:keepNext/>
        <w:spacing w:before="80" w:after="40" w:line="288" w:lineRule="auto"/>
        <w:ind w:firstLine="0"/>
        <w:jc w:val="center"/>
      </w:pPr>
      <w:r>
        <w:rPr>
          <w:rFonts w:ascii="Times New Roman" w:hAnsi="Times New Roman" w:eastAsia="黑体"/>
          <w:b/>
          <w:i w:val="0"/>
          <w:color w:val="000000"/>
          <w:sz w:val="21"/>
        </w:rPr>
        <w:t>表18-4　安全质量责任清单与领导履职记录表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责任事项</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责任领导／岗位</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履职要求</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履职频次</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履职记录（检查／带班／会议）</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完成情况</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（示例）现场带班检查</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按现行规定带班生产并重点检查危大工程、重大隐患整改</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每月</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2026-04带班检查4次，发现隐患3项均已闭环</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安全生产第一责任</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组织建立全员安全生产责任制、保证安全投入、主持安全领导小组会</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全程</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□完成□未完成</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危大工程管控</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组织专项方案编审签字，超规模危大组织专家论证（专家≥5名）并交底</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按危大节点</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□完成□未完成</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现场安全监督</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安全总监</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组织日常巡查和隐患排查治理闭环，制止违章指挥和违章作业</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每日</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□完成□未完成</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质量过程控制</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质量负责人／技术负责人</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组织样板引路、检验批验收、材料先检验后使用</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随工序</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□完成□未完成</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安全费用投入</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项目经理／财务负责人</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安全费按建安造价3%月末计提、专款专用、不挪用</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每月</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□完成□未完成</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事故报告与应急</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事故发生后单位负责人1小时内如实报告、启动应急预案</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发生时</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□完成□未完成</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中华人民共和国安全生产法》（2021年修正）第二十三条全员安全生产责任制；《建设工程安全生产管理条例》（国务院令第393号）；《危险性较大的分部分项工程安全管理规定》（住建部令第37号，超规模危大专家论证专家不少于5名）；《生产安全事故报告和调查处理条例》（国务院令第493号，单位负责人接报后1小时内报告）；《企业安全生产费用提取和使用管理办法》（财资〔2022〕136号，房建按3%计提）。项目经理带班生产的具体比例按现行法规及主管部门规定执行。标注“（示例）”的行用后删除。</w:t>
      </w:r>
    </w:p>
    <w:p>
      <w:pPr>
        <w:pStyle w:val="Heading2"/>
        <w:pageBreakBefore/>
      </w:pPr>
      <w:bookmarkStart w:id="23" w:name="_LarkToc00023"/>
      <w:r>
        <w:t>第19章　队伍建设：政治路线确定之后，干部就是决定因素</w:t>
      </w:r>
      <w:bookmarkEnd w:id="23"/>
    </w:p>
    <w:p>
      <w:pPr>
        <w:pStyle w:val="sec_head"/>
      </w:pPr>
      <w:r>
        <w:t>19.1　干部和人才是战略落地的决定因素</w:t>
      </w:r>
    </w:p>
    <w:p>
      <w:pPr>
        <w:spacing w:before="0" w:after="0" w:line="360" w:lineRule="auto"/>
        <w:ind w:firstLine="480"/>
        <w:jc w:val="both"/>
      </w:pPr>
      <w:r>
        <w:rPr>
          <w:rFonts w:ascii="Times New Roman" w:hAnsi="Times New Roman" w:eastAsia="宋体"/>
          <w:b w:val="0"/>
          <w:i w:val="0"/>
          <w:color w:val="000000"/>
          <w:sz w:val="24"/>
        </w:rPr>
        <w:t>毛泽东同志有一个著名论断：政治路线确定之后，干部就是决定的因素。项目管理的思路、制度、流程都定好了，最终能不能落地，关键在人——在项目经理这个“帅”，在总工这个“脑”，在安全总监这个“哨”，在班组长这个“兵头将尾”。企业之间的竞争，表面是中标、是价格、是工期，背后是队伍和人才的竞争。没有一支打得赢、留得住、带得出的队伍，再好的战略也只是纸上谈兵。队伍建设不是软任务，是硬投资。</w:t>
      </w:r>
    </w:p>
    <w:p>
      <w:pPr>
        <w:pStyle w:val="sec_head"/>
      </w:pPr>
      <w:r>
        <w:t>19.2　关键岗位的胜任标准：先把“什么样的人能上”立起来</w:t>
      </w:r>
    </w:p>
    <w:p>
      <w:pPr>
        <w:spacing w:before="0" w:after="0" w:line="360" w:lineRule="auto"/>
        <w:ind w:firstLine="480"/>
        <w:jc w:val="both"/>
      </w:pPr>
      <w:r>
        <w:rPr>
          <w:rFonts w:ascii="Times New Roman" w:hAnsi="Times New Roman" w:eastAsia="宋体"/>
          <w:b w:val="0"/>
          <w:i w:val="0"/>
          <w:color w:val="000000"/>
          <w:sz w:val="24"/>
        </w:rPr>
        <w:t>关键岗位不能靠感觉用人，要先立胜任标准。项目经理要懂技术、懂商务、懂管理、敢担当，具备注册建造师等执业资格和类似工程业绩；技术负责人要能把方案、把质量、把技术风险管住；安全总监要敢唱黑脸、敢叫停，具备安全考核合格证书；商务合约经理要把合同、成本、变更索赔算明白；财务负责人要把资金、税务、农民工工资专户守牢。每个关键岗位都要明确任职资格、持证要求和能力底线，达不到标准的坚决不上岗。具体盘点见附件19-1。</w:t>
      </w:r>
    </w:p>
    <w:p>
      <w:pPr>
        <w:pStyle w:val="sec_head"/>
      </w:pPr>
      <w:r>
        <w:t>19.3　人才盘点与梯队：不能“现用现找”</w:t>
      </w:r>
    </w:p>
    <w:p>
      <w:pPr>
        <w:spacing w:before="0" w:after="0" w:line="360" w:lineRule="auto"/>
        <w:ind w:firstLine="480"/>
        <w:jc w:val="both"/>
      </w:pPr>
      <w:r>
        <w:rPr>
          <w:rFonts w:ascii="Times New Roman" w:hAnsi="Times New Roman" w:eastAsia="宋体"/>
          <w:b w:val="0"/>
          <w:i w:val="0"/>
          <w:color w:val="000000"/>
          <w:sz w:val="24"/>
        </w:rPr>
        <w:t>队伍最怕“断档”——关键岗位一换人就抓瞎。要定期做人才盘点，把现有人员按胜任、基本胜任、不胜任分级，把后备人选和青年苗子（青干）摆出来，一人一策定培养措施。梯队要分三层：现任岗（在岗履职）、后备岗（1—2年内可接替）、苗子岗（3—5年培养）。每个关键岗位至少要有一名后备，避免“一个萝卜一个坑、萝卜走了坑空着”。</w:t>
      </w:r>
    </w:p>
    <w:p>
      <w:pPr>
        <w:pStyle w:val="sec_head"/>
      </w:pPr>
      <w:r>
        <w:t>19.4　班组长这个“兵头将尾”：一线战斗力的关键</w:t>
      </w:r>
    </w:p>
    <w:p>
      <w:pPr>
        <w:spacing w:before="0" w:after="0" w:line="360" w:lineRule="auto"/>
        <w:ind w:firstLine="480"/>
        <w:jc w:val="both"/>
      </w:pPr>
      <w:r>
        <w:rPr>
          <w:rFonts w:ascii="Times New Roman" w:hAnsi="Times New Roman" w:eastAsia="宋体"/>
          <w:b w:val="0"/>
          <w:i w:val="0"/>
          <w:color w:val="000000"/>
          <w:sz w:val="24"/>
        </w:rPr>
        <w:t>上面千条线，下面一根针。所有方案、交底、标准，最后都要靠班组长带着工人干出来。班组长既是生产者又是管理者，是“兵头将尾”。要选技术过硬、敢管会带、在工人中有威信的人当班组长，给他们培训、给他们授权、给他们合理的计件和奖励，让他们愿意管、管得住。班组稳则现场稳，班组散则事故多。</w:t>
      </w:r>
    </w:p>
    <w:p>
      <w:pPr>
        <w:pStyle w:val="sec_head"/>
      </w:pPr>
      <w:r>
        <w:t>19.5　培训体系：在战争中学习战争</w:t>
      </w:r>
    </w:p>
    <w:p>
      <w:pPr>
        <w:spacing w:before="0" w:after="0" w:line="360" w:lineRule="auto"/>
        <w:ind w:firstLine="480"/>
        <w:jc w:val="both"/>
      </w:pPr>
      <w:r>
        <w:rPr>
          <w:rFonts w:ascii="Times New Roman" w:hAnsi="Times New Roman" w:eastAsia="宋体"/>
          <w:b w:val="0"/>
          <w:i w:val="0"/>
          <w:color w:val="000000"/>
          <w:sz w:val="24"/>
        </w:rPr>
        <w:t>施工人才主要是干出来的，不是课堂里听出来的。要建立“导师带徒、轮岗锻炼、实战练兵”的培训体系：新员工指定导师结对，明确带教内容和周期；关键岗位有计划地轮岗，让技术、商务、生产互相懂；把每个重点工程、每次抢险整改、每次复盘都当成实战课堂。安全培训是硬要求——新入场人员必须经过公司、项目、班组三级安全教育，特种作业人员必须持证上岗，未经培训教育不得上岗。</w:t>
      </w:r>
    </w:p>
    <w:p>
      <w:pPr>
        <w:pStyle w:val="sec_head"/>
      </w:pPr>
      <w:r>
        <w:t>19.6　考核激励与能上能下：干好干坏不一样</w:t>
      </w:r>
    </w:p>
    <w:p>
      <w:pPr>
        <w:spacing w:before="0" w:after="0" w:line="360" w:lineRule="auto"/>
        <w:ind w:firstLine="480"/>
        <w:jc w:val="both"/>
      </w:pPr>
      <w:r>
        <w:rPr>
          <w:rFonts w:ascii="Times New Roman" w:hAnsi="Times New Roman" w:eastAsia="宋体"/>
          <w:b w:val="0"/>
          <w:i w:val="0"/>
          <w:color w:val="000000"/>
          <w:sz w:val="24"/>
        </w:rPr>
        <w:t>考核是指挥棒。要建立以业绩为核心、安全质量一票否决的项目班子和项目经理考核机制，把利润、回款、安全质量、团队、作风、合规都量化成分数和权重，年度考核兑现奖惩。考核结果要真用：优秀的提拔重用、加薪激励；基本称职的约谈帮扶；不称职的调整下来，真正形成能者上、庸者下、劣者汰的氛围，不能让“干多干少一个样、干好干坏一个样”。</w:t>
      </w:r>
    </w:p>
    <w:p>
      <w:pPr>
        <w:pStyle w:val="sec_head"/>
      </w:pPr>
      <w:r>
        <w:t>19.7　靠事业、待遇、感情留人</w:t>
      </w:r>
    </w:p>
    <w:p>
      <w:pPr>
        <w:spacing w:before="0" w:after="0" w:line="360" w:lineRule="auto"/>
        <w:ind w:firstLine="480"/>
        <w:jc w:val="both"/>
      </w:pPr>
      <w:r>
        <w:rPr>
          <w:rFonts w:ascii="Times New Roman" w:hAnsi="Times New Roman" w:eastAsia="宋体"/>
          <w:b w:val="0"/>
          <w:i w:val="0"/>
          <w:color w:val="000000"/>
          <w:sz w:val="24"/>
        </w:rPr>
        <w:t>留人留心，一靠事业，二靠待遇，三靠感情。给能干的人搭台子、压担子、给位置，让他看得到成长；薪酬要体现多劳多得、优绩优酬，不能让老实人吃亏；领导要真诚关心一线、关心员工的实际困难，把队伍的人心焐热。人留不住，往往不是钱没给够，而是干得憋屈、看不到盼头。</w:t>
      </w:r>
    </w:p>
    <w:p>
      <w:pPr>
        <w:pStyle w:val="sec_head"/>
      </w:pPr>
      <w:r>
        <w:t>19.8　关键岗位胜任力标准：把“能上、能打”的条件立成清单</w:t>
      </w:r>
    </w:p>
    <w:p>
      <w:pPr>
        <w:spacing w:before="0" w:after="0" w:line="360" w:lineRule="auto"/>
        <w:ind w:firstLine="480"/>
        <w:jc w:val="both"/>
      </w:pPr>
      <w:r>
        <w:rPr>
          <w:rFonts w:ascii="Times New Roman" w:hAnsi="Times New Roman" w:eastAsia="宋体"/>
          <w:b w:val="0"/>
          <w:i w:val="0"/>
          <w:color w:val="000000"/>
          <w:sz w:val="24"/>
        </w:rPr>
        <w:t>19.2提出要先立胜任标准，这里进一步把它落成可对照的维度。项目经理、技术负责人、安全总监、商务合约经理、财务负责人等关键岗位，都应从五个维度立标：一是执业资格底线，如项目经理具备注册建造师执业资格、安全总监持安全生产考核合格证书，资格不达标者一律不上岗；二是从业业绩，要求有同类工程、同等规模的完整履约经历；三是专业能力，能把方案、成本、资金、安全质量管住；四是管理能力，能带班子、协调各方、敢决策敢担当；五是安全质量和廉洁底线意识，敢唱黑脸、不碰红线。资格底线是“硬杠杠”，业绩和能力维度作为后备选拔和培养的依据，与附件19-1人才盘点表对照使用，做到“以岗择人、以能定薪”。</w:t>
      </w:r>
    </w:p>
    <w:p>
      <w:pPr>
        <w:pStyle w:val="sec_head"/>
      </w:pPr>
      <w:r>
        <w:t>19.9　师徒制与导师带徒：把“在战争中学习战争”落到制度</w:t>
      </w:r>
    </w:p>
    <w:p>
      <w:pPr>
        <w:spacing w:before="0" w:after="0" w:line="360" w:lineRule="auto"/>
        <w:ind w:firstLine="480"/>
        <w:jc w:val="both"/>
      </w:pPr>
      <w:r>
        <w:rPr>
          <w:rFonts w:ascii="Times New Roman" w:hAnsi="Times New Roman" w:eastAsia="宋体"/>
          <w:b w:val="0"/>
          <w:i w:val="0"/>
          <w:color w:val="000000"/>
          <w:sz w:val="24"/>
        </w:rPr>
        <w:t>19.5讲“在战争中学习战争”，导师带徒是其中最实的一招。新员工、青年苗子上岗，必须指定导师结对，签订带教协议，明确带教目标、内容、周期（一般6—12个月）和考核方式，不能“扔到现场自己摸”。导师由经验丰富的项目经理、技术负责人、安全总监和优秀班组长担任，既教技术业务，也教作风、安全意识和责任担当。带教期满要由导师和项目班子共同鉴定，考核结果与导师评先、徒弟定岗定级挂钩。通过制度化的传帮带，把老项目上积累的施工经验、成本把控和应急处置能力变成可传承的组织能力，避免“经验随人走、换人就抓瞎”。</w:t>
      </w:r>
    </w:p>
    <w:p>
      <w:pPr>
        <w:pStyle w:val="sec_head"/>
      </w:pPr>
      <w:r>
        <w:t>19.10　产业工人队伍建设：从“零散包工”到“稳定产业工人”</w:t>
      </w:r>
    </w:p>
    <w:p>
      <w:pPr>
        <w:spacing w:before="0" w:after="0" w:line="360" w:lineRule="auto"/>
        <w:ind w:firstLine="480"/>
        <w:jc w:val="both"/>
      </w:pPr>
      <w:r>
        <w:rPr>
          <w:rFonts w:ascii="Times New Roman" w:hAnsi="Times New Roman" w:eastAsia="宋体"/>
          <w:b w:val="0"/>
          <w:i w:val="0"/>
          <w:color w:val="000000"/>
          <w:sz w:val="24"/>
        </w:rPr>
        <w:t>建筑工人是行业的基石，也是安全质量最直接的执行者。长期以来劳务层层分包、工人流动性大、技能参差不齐，是事故和质量问题反复发生的重要根源。要下力气推动劳务队伍从“散兵游勇”向稳定的产业工人队伍转变：培育自有或长期合作的骨干班组，减少“层层转包、临时拼凑”；开展技能培训和技能等级认定，特种作业人员一律持证上岗；落实施工现场实名制管理，农民工工资通过专用账户由总承包单位代发、专款专用，不得拖欠。队伍稳、技能高、权益有保障，安全质量才有最扎实的根基。</w:t>
      </w:r>
    </w:p>
    <w:p>
      <w:pPr>
        <w:spacing w:before="20" w:after="80" w:line="288" w:lineRule="auto"/>
        <w:ind w:firstLine="0"/>
        <w:jc w:val="left"/>
      </w:pPr>
      <w:r>
        <w:rPr>
          <w:rFonts w:ascii="Times New Roman" w:hAnsi="Times New Roman" w:eastAsia="宋体"/>
          <w:b w:val="0"/>
          <w:i w:val="0"/>
          <w:color w:val="404040"/>
          <w:sz w:val="18"/>
        </w:rPr>
        <w:t>依据：《保障农民工工资支付条例》（国务院令第724号）关于工资专用账户、总承包单位代发工资的规定；特种作业人员持证、安全教育培训等要求以现行法规及主管部门规定为准。</w:t>
      </w:r>
    </w:p>
    <w:p>
      <w:pPr>
        <w:pStyle w:val="attach_div"/>
        <w:pageBreakBefore/>
        <w:jc w:val="center"/>
      </w:pPr>
      <w:r>
        <w:t>第19章　章末附件</w:t>
      </w:r>
    </w:p>
    <w:p>
      <w:pPr>
        <w:spacing w:before="0" w:after="0" w:line="360" w:lineRule="auto"/>
        <w:ind w:firstLine="480"/>
        <w:jc w:val="both"/>
      </w:pPr>
      <w:r>
        <w:rPr>
          <w:rFonts w:ascii="Times New Roman" w:hAnsi="Times New Roman" w:eastAsia="宋体"/>
          <w:b w:val="0"/>
          <w:i w:val="0"/>
          <w:color w:val="000000"/>
          <w:sz w:val="24"/>
        </w:rPr>
        <w:t>本页之后为《队伍建设：政治路线确定之后，干部就是决定因素》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51" w:name="_LarkToc00151"/>
      <w:r>
        <w:t>附件19-1　关键岗位人才盘点表</w:t>
      </w:r>
      <w:bookmarkEnd w:id="151"/>
    </w:p>
    <w:p>
      <w:pPr>
        <w:spacing w:before="0" w:after="40" w:line="312" w:lineRule="auto"/>
        <w:ind w:firstLine="0"/>
        <w:jc w:val="left"/>
      </w:pPr>
      <w:r>
        <w:rPr>
          <w:rFonts w:ascii="Times New Roman" w:hAnsi="Times New Roman" w:eastAsia="宋体"/>
          <w:b w:val="0"/>
          <w:i w:val="0"/>
          <w:color w:val="595959"/>
          <w:sz w:val="18"/>
        </w:rPr>
        <w:t>【归属】第19章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【用途】由项目经理会同企业人力资源部门每年（或项目关键节点）盘点一次，逐岗明确在岗人员、能力评级和后备人选。能力评级分胜任／基本胜任／不胜任三档；“示例”行仅为说明填写方法，使用时删除。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表19-1　关键岗位人才盘点表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岗位</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在岗人员</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任职资格/持证要求</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能力评级</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业绩与短板</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后备人选</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任用/培养建议</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（示例）项目经理</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张三</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一级注册建造师、类似业绩3项以上</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履约好，商务偏弱</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李四（后备）</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重点补商务谈判</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项目书记</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政工经验、协调能力</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技术负责人（总工）</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中级以上职称、工程师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安全总监</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安全考核合格证（C证）</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质量负责人</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质量员证、验评经验</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商务合约经理</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造价工程师/二级造价师</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财务负责人</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会计从业能力、熟悉税务</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物资设备负责人</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材料员证、机械管理经验</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栋号长/施工员</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施工员证、现场经验</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班组长（主要工种）</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工种技能等级、带班经验</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□胜任□基本□不胜任</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注：能力评级标准建议——胜任：独立履职、业绩达标；基本胜任：能履职但有明显短板、需辅导；不胜任：关键指标不达标或发生安全质量责任事件。不胜任岗位须6个月内调整或培养。</w:t>
      </w:r>
    </w:p>
    <w:p>
      <w:pPr>
        <w:pStyle w:val="Heading3"/>
        <w:pageBreakBefore/>
        <w:spacing w:before="120"/>
      </w:pPr>
      <w:bookmarkStart w:id="152" w:name="_LarkToc00152"/>
      <w:r>
        <w:t>附件19-2　培训与梯队建设计划表</w:t>
      </w:r>
      <w:bookmarkEnd w:id="152"/>
    </w:p>
    <w:p>
      <w:pPr>
        <w:spacing w:before="0" w:after="40" w:line="312" w:lineRule="auto"/>
        <w:ind w:firstLine="0"/>
        <w:jc w:val="left"/>
      </w:pPr>
      <w:r>
        <w:rPr>
          <w:rFonts w:ascii="Times New Roman" w:hAnsi="Times New Roman" w:eastAsia="宋体"/>
          <w:b w:val="0"/>
          <w:i w:val="0"/>
          <w:color w:val="595959"/>
          <w:sz w:val="18"/>
        </w:rPr>
        <w:t>【归属】第19章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【用途】由项目班子会同企业人力部门编制年度培训计划和梯队建设计划，培训签到、考核记录留档。“示例”行仅为说明填写方法，使用时删除。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表19-2-1　年度培训计划</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培训主题/课程</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对象</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形式</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课时</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时间</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讲师</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考核方式</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（示例）危大工程专项方案与论证</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技术、安全管理人员</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授课+案例</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2026-Q1</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公司技术专家</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闭卷测试80分合格</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三级安全教育与班前交底</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新入场工人、班组长</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授课+演练</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进场即训</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安全总监</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签到+口试</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合同、变更索赔与商务谈判</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商务、项目经理</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授课</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2026-Q2</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商务经理</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案例答辩</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质量样板引路与验收</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技术、质量、施工员</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现场观摩</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样板施工前</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实操考核</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导师带徒（师徒结对）</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新员工、苗子</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导师带徒</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12个月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全年</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指定导师</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期满鉴定</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关键岗位轮岗锻炼</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后备、青干</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轮岗</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6—12个月</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按计划</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轮岗总结</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表19-2-2　人才梯队建设计划</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梯队层级</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人选</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目标岗位</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现有差距</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培养措施</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成熟周期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（示例）后备</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李四</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项目经理</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独当一面的商务与决策经验</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轮岗商务口、独立主持一个标段</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1—2年</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现任</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在岗履职、年度考核</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后备</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1—2年</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苗子</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导师带徒、压担子</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3—5年</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注：每个关键岗位至少配备1名后备；成熟周期为参考值，按个人成长动态调整；培训考核不合格者补训补考。</w:t>
      </w:r>
    </w:p>
    <w:p>
      <w:pPr>
        <w:pStyle w:val="Heading3"/>
        <w:pageBreakBefore/>
        <w:spacing w:before="120"/>
      </w:pPr>
      <w:bookmarkStart w:id="153" w:name="_LarkToc00153"/>
      <w:r>
        <w:t>附件19-3　项目班子与项目经理考核表</w:t>
      </w:r>
      <w:bookmarkEnd w:id="153"/>
    </w:p>
    <w:p>
      <w:pPr>
        <w:spacing w:before="0" w:after="40" w:line="312" w:lineRule="auto"/>
        <w:ind w:firstLine="0"/>
        <w:jc w:val="left"/>
      </w:pPr>
      <w:r>
        <w:rPr>
          <w:rFonts w:ascii="Times New Roman" w:hAnsi="Times New Roman" w:eastAsia="宋体"/>
          <w:b w:val="0"/>
          <w:i w:val="0"/>
          <w:color w:val="595959"/>
          <w:sz w:val="18"/>
        </w:rPr>
        <w:t>【归属】第19章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【用途】按年度（或项目节点）考核，权重合计100%；安全质量事故实行一票否决，不论得分高低直接定为不称职。得分=Σ（考核要点得分×权重），按总分评级；“示例”行仅为说明填写方法，使用时删除。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表19-3　项目班子与项目经理考核表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考核维度</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考核要点与权重</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目标值</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实际完成</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得分</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评级</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奖惩/任用建议</w:t>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（示例）业绩与利润</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目标利润达成率（20%）</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利润达成≥100%</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105%</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21</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兑现绩效、优先任用</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安全质量</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事故控制、隐患整改、验收一次成优（25%）</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零因工死亡、零重大质量事故</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一票否决项</w:t>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成本与回款</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目标成本节超、工程款回收率（20%）</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回款率≥90%</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团队建设</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人才梯队、培训、队伍稳定（10%）</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关键岗位有后备、培训完成</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作风与合规</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廉洁、执行力、签证资料留痕（15%）</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零违纪、资料齐全</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业主与履约</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业主满意度、工期节点履约（10%）</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节点履约率100%</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合计</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100%</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w:t>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评级规则：总分≥90分为优秀，80—89分为称职，60—79分为基本称职，60分以下为不称职；发生因工死亡事故或重大质量事故的，无论总分高低，直接评为不称职并启动一票否决；优秀者优先提拔重用，基本称职者约谈帮扶，不称职者调整岗位。具体权重与目标值按企业制度及项目责任书确定。</w:t>
      </w:r>
    </w:p>
    <w:p>
      <w:pPr>
        <w:pStyle w:val="Heading1"/>
      </w:pPr>
      <w:bookmarkStart w:id="24" w:name="_LarkToc00024"/>
      <w:r>
        <w:t>第五篇　方法篇——弹钢琴、搞调研、抓复盘、正作风</w:t>
      </w:r>
      <w:bookmarkEnd w:id="24"/>
    </w:p>
    <w:p>
      <w:pPr>
        <w:spacing w:before="0" w:after="0" w:line="360" w:lineRule="auto"/>
        <w:ind w:firstLine="480"/>
        <w:jc w:val="both"/>
      </w:pPr>
      <w:r>
        <w:rPr>
          <w:rFonts w:ascii="Times New Roman" w:hAnsi="Times New Roman" w:eastAsia="宋体"/>
          <w:b w:val="0"/>
          <w:i w:val="0"/>
          <w:color w:val="000000"/>
          <w:sz w:val="24"/>
        </w:rPr>
        <w:t>本篇是贯穿全书的领导方法和工作作风，回答“项目班子怎么运转、情况怎么摸清、经验怎么沉淀、队伍怎么带”。方法对了，业务和战略才能真正落地。</w:t>
      </w:r>
    </w:p>
    <w:p>
      <w:pPr>
        <w:pStyle w:val="Heading2"/>
        <w:pageBreakBefore/>
      </w:pPr>
      <w:bookmarkStart w:id="25" w:name="_LarkToc00025"/>
      <w:r>
        <w:t>第20章　班子“弹钢琴”：统筹兼顾、抓主要矛盾</w:t>
      </w:r>
      <w:bookmarkEnd w:id="25"/>
    </w:p>
    <w:p>
      <w:pPr>
        <w:pStyle w:val="sec_head"/>
      </w:pPr>
      <w:r>
        <w:t>20.1　班子要学会“弹钢琴”</w:t>
      </w:r>
    </w:p>
    <w:p>
      <w:pPr>
        <w:spacing w:before="0" w:after="0" w:line="360" w:lineRule="auto"/>
        <w:ind w:firstLine="480"/>
        <w:jc w:val="both"/>
      </w:pPr>
      <w:r>
        <w:rPr>
          <w:rFonts w:ascii="Times New Roman" w:hAnsi="Times New Roman" w:eastAsia="宋体"/>
          <w:b w:val="0"/>
          <w:i w:val="0"/>
          <w:color w:val="000000"/>
          <w:sz w:val="24"/>
        </w:rPr>
        <w:t>毛泽东同志在《党委会的工作方法》中提出，党委要抓紧中心工作，又要围绕中心工作而同时开展其他方面的工作，“学会弹钢琴”。弹钢琴要十个指头都动作，但不能乱按，要有节奏、互相配合。项目管理也是如此：进度、安全、质量、成本、回款、团队、合规，十个指头都得动，但必须分清轻重缓急、有先有后、有主有次。胡子眉毛一把抓，结果就是什么都抓、什么都没抓好。班子的本事，就在于把千头万绪的工作弹成一首有节奏的曲子。</w:t>
      </w:r>
    </w:p>
    <w:p>
      <w:pPr>
        <w:pStyle w:val="sec_head"/>
      </w:pPr>
      <w:r>
        <w:t>20.2　当好“班长”与集体领导</w:t>
      </w:r>
    </w:p>
    <w:p>
      <w:pPr>
        <w:spacing w:before="0" w:after="0" w:line="360" w:lineRule="auto"/>
        <w:ind w:firstLine="480"/>
        <w:jc w:val="both"/>
      </w:pPr>
      <w:r>
        <w:rPr>
          <w:rFonts w:ascii="Times New Roman" w:hAnsi="Times New Roman" w:eastAsia="宋体"/>
          <w:b w:val="0"/>
          <w:i w:val="0"/>
          <w:color w:val="000000"/>
          <w:sz w:val="24"/>
        </w:rPr>
        <w:t>党委书记、项目经理要善于当“班长”，把班子这几个人团结好、指挥好。既要讲民主，重大问题集体讨论、集体决策，不能一个人说了算；又要讲集中，决议一旦形成就要坚决执行，不能议而不决、决而不行。班子成员分工不分家：各管一摊是为了把事做专，遇到交叉地带要主动补位，不能“各人自扫门前雪”，更不能互相推诿。</w:t>
      </w:r>
    </w:p>
    <w:p>
      <w:pPr>
        <w:pStyle w:val="sec_head"/>
      </w:pPr>
      <w:r>
        <w:t>20.3　抓主要矛盾和中心工作</w:t>
      </w:r>
    </w:p>
    <w:p>
      <w:pPr>
        <w:spacing w:before="0" w:after="0" w:line="360" w:lineRule="auto"/>
        <w:ind w:firstLine="480"/>
        <w:jc w:val="both"/>
      </w:pPr>
      <w:r>
        <w:rPr>
          <w:rFonts w:ascii="Times New Roman" w:hAnsi="Times New Roman" w:eastAsia="宋体"/>
          <w:b w:val="0"/>
          <w:i w:val="0"/>
          <w:color w:val="000000"/>
          <w:sz w:val="24"/>
        </w:rPr>
        <w:t>任何阶段都有一个主要矛盾，抓住了它，其他问题就迎刃而解。基础阶段主要矛盾是基坑和地基，主体阶段是模板钢筋混凝土和垂直运输，装饰阶段是穿插作业和成品保护，收尾阶段是验收、结算和回款。每个阶段班子只集中精力抓一两个关键环节，其余工作按机制常态运行。主要矛盾变了，工作重心就要跟着转，不能还抱着上一阶段的重点不放。</w:t>
      </w:r>
    </w:p>
    <w:p>
      <w:pPr>
        <w:pStyle w:val="sec_head"/>
      </w:pPr>
      <w:r>
        <w:t>20.4　会议机制：不同的会，解决不同的问题</w:t>
      </w:r>
    </w:p>
    <w:p>
      <w:pPr>
        <w:spacing w:before="0" w:after="0" w:line="360" w:lineRule="auto"/>
        <w:ind w:firstLine="480"/>
        <w:jc w:val="both"/>
      </w:pPr>
      <w:r>
        <w:rPr>
          <w:rFonts w:ascii="Times New Roman" w:hAnsi="Times New Roman" w:eastAsia="宋体"/>
          <w:b w:val="0"/>
          <w:i w:val="0"/>
          <w:color w:val="000000"/>
          <w:sz w:val="24"/>
        </w:rPr>
        <w:t>会多不行，不开会也不行，关键是让每类会各归其位。班子会（月度或节点）议大事、议方向、议重大决策；周例会定当周计划、协调交叉、解决上周遗留；专题会针对某一个问题（如进度滞后、成本偏差、质量通病、安全隐患）专门研究、当场定策；班前会每天开，交任务、交风险、交要求。开会不是目的，解决问题才是目的；每次会议都要有明确议题、有决议、有责任人、有回音。</w:t>
      </w:r>
    </w:p>
    <w:p>
      <w:pPr>
        <w:pStyle w:val="sec_head"/>
      </w:pPr>
      <w:r>
        <w:t>20.5　分工协同与交叉补位</w:t>
      </w:r>
    </w:p>
    <w:p>
      <w:pPr>
        <w:spacing w:before="0" w:after="0" w:line="360" w:lineRule="auto"/>
        <w:ind w:firstLine="480"/>
        <w:jc w:val="both"/>
      </w:pPr>
      <w:r>
        <w:rPr>
          <w:rFonts w:ascii="Times New Roman" w:hAnsi="Times New Roman" w:eastAsia="宋体"/>
          <w:b w:val="0"/>
          <w:i w:val="0"/>
          <w:color w:val="000000"/>
          <w:sz w:val="24"/>
        </w:rPr>
        <w:t>班子分工要书面明确：生产经理管进度和现场，技术负责人管方案和质量，安全总监管安全，商务经理管成本和合同，财务负责人管资金和税务，书记管党建、团队和对外协调。分工是底线，但工程现场大量问题是跨口的——进度慢了可能是材料没到（物资）、图纸没到（技术）、钱没到（财务），这时候谁牵头谁负责，其他口必须配合，不能以“不归我管”搪塞。</w:t>
      </w:r>
    </w:p>
    <w:p>
      <w:pPr>
        <w:pStyle w:val="sec_head"/>
      </w:pPr>
      <w:r>
        <w:t>20.6　“抓紧”与闭环：决议要有回音</w:t>
      </w:r>
    </w:p>
    <w:p>
      <w:pPr>
        <w:spacing w:before="0" w:after="0" w:line="360" w:lineRule="auto"/>
        <w:ind w:firstLine="480"/>
        <w:jc w:val="both"/>
      </w:pPr>
      <w:r>
        <w:rPr>
          <w:rFonts w:ascii="Times New Roman" w:hAnsi="Times New Roman" w:eastAsia="宋体"/>
          <w:b w:val="0"/>
          <w:i w:val="0"/>
          <w:color w:val="000000"/>
          <w:sz w:val="24"/>
        </w:rPr>
        <w:t>毛泽东同志讲“抓而不紧，等于不抓”。班子定下来的事，必须“五明确”：明确事项、明确责任人、明确标准、明确时限、明确验收人。每件决议都要有节点、有跟踪、有回音，到期不办的在下次会上通报，未闭环的事项滚动列入下次会议，做到“事事有交代、件件有着落”。开而不决、决而不行、行而不果，是班子最大的失职。</w:t>
      </w:r>
    </w:p>
    <w:p>
      <w:pPr>
        <w:pStyle w:val="sec_head"/>
      </w:pPr>
      <w:r>
        <w:t>20.7　胸中有数：用数据和台账开会</w:t>
      </w:r>
    </w:p>
    <w:p>
      <w:pPr>
        <w:spacing w:before="0" w:after="0" w:line="360" w:lineRule="auto"/>
        <w:ind w:firstLine="480"/>
        <w:jc w:val="both"/>
      </w:pPr>
      <w:r>
        <w:rPr>
          <w:rFonts w:ascii="Times New Roman" w:hAnsi="Times New Roman" w:eastAsia="宋体"/>
          <w:b w:val="0"/>
          <w:i w:val="0"/>
          <w:color w:val="000000"/>
          <w:sz w:val="24"/>
        </w:rPr>
        <w:t>“胸中有数”，就是对情况和问题一定要注意到它们的数量方面，要有基本的数量的分析。开会不能只凭感觉汇报“差不多、大概、挺好的”，而要用数据说话：进度完成百分之多少、成本节超多少、回款率多少、隐患整改率多少、劳动力够不够。各类台账和报表要在会前备好，会上对着数据找问题、定措施。没有数据的会，是空会；不会用数据的班子，是糊涂班子。</w:t>
      </w:r>
    </w:p>
    <w:p>
      <w:pPr>
        <w:pStyle w:val="sec_head"/>
      </w:pPr>
      <w:r>
        <w:t>20.8　会议体系一盘棋：周例会、月调度、专题会各归其位</w:t>
      </w:r>
    </w:p>
    <w:p>
      <w:pPr>
        <w:spacing w:before="0" w:after="0" w:line="360" w:lineRule="auto"/>
        <w:ind w:firstLine="480"/>
        <w:jc w:val="both"/>
      </w:pPr>
      <w:r>
        <w:rPr>
          <w:rFonts w:ascii="Times New Roman" w:hAnsi="Times New Roman" w:eastAsia="宋体"/>
          <w:b w:val="0"/>
          <w:i w:val="0"/>
          <w:color w:val="000000"/>
          <w:sz w:val="24"/>
        </w:rPr>
        <w:t>三类会议要形成节奏、互相衔接：周例会定当周、管当下，解决每天的交叉协调和遗留问题；月调度会看全盘、管趋势，把进度、成本、质量、安全摆到数据上，调整当期主次矛盾；专题会攻难点、管闭环，哪条线出了问题就在48小时内召集，一竿子插到底。三类会议的决议统一进一本台账，事项、责任人、时限清楚，下周、下月滚动销号——这正是附件20-2要落的事。会议不是开得越多越好，每次议题宜3—5项，能在现场当场解决的，不上会；能合并的会，不重复开。</w:t>
      </w:r>
    </w:p>
    <w:p>
      <w:pPr>
        <w:pStyle w:val="attach_div"/>
        <w:pageBreakBefore/>
        <w:jc w:val="center"/>
      </w:pPr>
      <w:r>
        <w:t>第20章　章末附件</w:t>
      </w:r>
    </w:p>
    <w:p>
      <w:pPr>
        <w:spacing w:before="0" w:after="0" w:line="360" w:lineRule="auto"/>
        <w:ind w:firstLine="480"/>
        <w:jc w:val="both"/>
      </w:pPr>
      <w:r>
        <w:rPr>
          <w:rFonts w:ascii="Times New Roman" w:hAnsi="Times New Roman" w:eastAsia="宋体"/>
          <w:b w:val="0"/>
          <w:i w:val="0"/>
          <w:color w:val="000000"/>
          <w:sz w:val="24"/>
        </w:rPr>
        <w:t>本页之后为《班子“弹钢琴”：统筹兼顾、抓主要矛盾》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54" w:name="_LarkToc00154"/>
      <w:r>
        <w:t>附件20-1　项目班子工作统筹与周/月例会表</w:t>
      </w:r>
      <w:bookmarkEnd w:id="154"/>
    </w:p>
    <w:p>
      <w:pPr>
        <w:spacing w:before="0" w:after="40" w:line="312" w:lineRule="auto"/>
        <w:ind w:firstLine="0"/>
        <w:jc w:val="left"/>
      </w:pPr>
      <w:r>
        <w:rPr>
          <w:rFonts w:ascii="Times New Roman" w:hAnsi="Times New Roman" w:eastAsia="宋体"/>
          <w:b w:val="0"/>
          <w:i w:val="0"/>
          <w:color w:val="595959"/>
          <w:sz w:val="18"/>
        </w:rPr>
        <w:t>【归属】第20章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【用途】由项目经理（或办公室）维护，动态梳理当期工作，区分主要矛盾与次要矛盾，逐项闭环。“示例”行仅为说明填写方法，使用时删除。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表20-1　工作统筹与主次矛盾排序表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工作事项</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主次矛盾排序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牵头领导</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配合岗位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完成节点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当前状态</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闭环确认</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（示例）3#楼主楼主体结构封顶</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主要矛盾（关键线路）</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生产经理</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技术、物资、安全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2026-06-30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□进行中</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□已闭环</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深基坑监测数据复核</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次要矛盾（需监控）</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监测单位</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每周</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□进行中</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□已闭环</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二季度进度款申报</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次要矛盾</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商务经理</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财务、项目经理</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2026-07-10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□进行中</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□已闭环</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临边防护专项整改</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次要矛盾（安全）</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安全总监</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施工员、班组</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2026-06-20</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□进行中</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□已闭环</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表20-2　周/月例会记录表</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会议名称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时间</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主持人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应到/实到</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议题清单（按主次排序）</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决议事项</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完成时限</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上次决议落实</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闭环签字</w:t>
            </w:r>
          </w:p>
        </w:tc>
      </w:tr>
      <w:tr>
        <w:trPr>
          <w:cantSpli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（示例）项目周例会</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2026-06-15</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项目经理</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12/11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①3#楼封顶安排②商砼供应③临边整改</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商砼6月18日前每日保供200方</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物资经理</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2026-06-18</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已落实</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□落实□未落实</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□落实□未落实</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会议纪律：会议决议必须做到“五明确”——事项、责任人、标准、时限、验收人；未闭环事项滚动列入下次会议，直到销号；专题会、班子会参照本表记录，议题数量每次会议宜控制在3—5项，突出当期主要矛盾。</w:t>
      </w:r>
    </w:p>
    <w:p>
      <w:pPr>
        <w:pStyle w:val="Heading3"/>
        <w:pageBreakBefore/>
        <w:spacing w:before="120"/>
      </w:pPr>
      <w:bookmarkStart w:id="155" w:name="_LarkToc00155"/>
      <w:r>
        <w:t>附件20-2　项目班子会议体系与决议跟踪表</w:t>
      </w:r>
      <w:bookmarkEnd w:id="155"/>
    </w:p>
    <w:p>
      <w:pPr>
        <w:spacing w:before="0" w:after="40" w:line="312" w:lineRule="auto"/>
        <w:ind w:firstLine="0"/>
        <w:jc w:val="left"/>
      </w:pPr>
      <w:r>
        <w:rPr>
          <w:rFonts w:ascii="Times New Roman" w:hAnsi="Times New Roman" w:eastAsia="宋体"/>
          <w:b w:val="0"/>
          <w:i w:val="0"/>
          <w:color w:val="595959"/>
          <w:sz w:val="18"/>
        </w:rPr>
        <w:t>【归属】第20章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【用途】由项目经理（或办公室）统一维护一本会议决议台账，周例会、月调度会、专题会的决议全部登记，滚动跟踪、到期销号。“示例”行仅为说明填写方法，使用时删除。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表20-3　项目班子会议体系与决议跟踪表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会议类型</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频次</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主持人</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固定议题</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参会人</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决议事项</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完成时限</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决议闭环确认</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（示例）周例会</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每周一次（周一）</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生产经理</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上周完成情况、当周计划、交叉协调、上次遗留</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班子成员、施工员、班组代表</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3#楼六层模板6月18日前完成</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施工员</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2026-06-18</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6月19日例会销号</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（示例）月调度会</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每月一次（月末）</w:t>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进度/成本/质量/安全月度盘点，调整主次矛盾</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班子成员、各部门负责人</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二季度进度款6月25日前申报</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商务经理</w:t>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2026-06-25</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7月初调度会确认</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（示例）专题会</w:t>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按需（问题触发48小时内）</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分管领导</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单一专题：进度滞后/成本偏差/质量通病/安全隐患</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相关口负责人、专业班组</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深基坑报警点加密至每日一测</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即日起</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监测连续稳定后转常规</w:t>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会议类型分周例会、月调度会、专题会三类，固定议题每次宜控制在3—5项；决议事项必须做到“五明确”——事项、责任人、标准、时限、验收人；未闭环事项滚动列入下次会议直至销号；专题会须在问题触发后48小时内召开。示例行用后删除。</w:t>
      </w:r>
    </w:p>
    <w:p>
      <w:pPr>
        <w:pStyle w:val="Heading2"/>
        <w:pageBreakBefore/>
      </w:pPr>
      <w:bookmarkStart w:id="26" w:name="_LarkToc00026"/>
      <w:r>
        <w:t>第21章　调查研究：没有调查就没有发言权</w:t>
      </w:r>
      <w:bookmarkEnd w:id="26"/>
    </w:p>
    <w:p>
      <w:pPr>
        <w:pStyle w:val="sec_head"/>
      </w:pPr>
      <w:r>
        <w:t>21.1　调查研究是谋事之基、成事之道</w:t>
      </w:r>
    </w:p>
    <w:p>
      <w:pPr>
        <w:spacing w:before="0" w:after="0" w:line="360" w:lineRule="auto"/>
        <w:ind w:firstLine="480"/>
        <w:jc w:val="both"/>
      </w:pPr>
      <w:r>
        <w:rPr>
          <w:rFonts w:ascii="Times New Roman" w:hAnsi="Times New Roman" w:eastAsia="宋体"/>
          <w:b w:val="0"/>
          <w:i w:val="0"/>
          <w:color w:val="000000"/>
          <w:sz w:val="24"/>
        </w:rPr>
        <w:t>毛泽东同志有一句名言：没有调查，没有发言权。他还讲，调查就是解决问题——你对那个问题不能解决吗？那末，你就去调查那个问题的现状和它的历史吧，你完全调查明白了，你对那个问题就有解决的办法了。施工企业大量失误，不是出在不努力，而是出在情况不明就下决心：报价凭想当然、方案凭老经验、整改凭拍脑袋。投标踏勘走过场、开工前不摸清现场、出了问题不到班组去问，最后都要交“学费”。调查研究不是可选项，是决策的第一道工序。</w:t>
      </w:r>
    </w:p>
    <w:p>
      <w:pPr>
        <w:pStyle w:val="sec_head"/>
      </w:pPr>
      <w:r>
        <w:t>21.2　调研的类型与场景：什么时候都要调查什么</w:t>
      </w:r>
    </w:p>
    <w:p>
      <w:pPr>
        <w:spacing w:before="0" w:after="0" w:line="360" w:lineRule="auto"/>
        <w:ind w:firstLine="480"/>
        <w:jc w:val="both"/>
      </w:pPr>
      <w:r>
        <w:rPr>
          <w:rFonts w:ascii="Times New Roman" w:hAnsi="Times New Roman" w:eastAsia="宋体"/>
          <w:b w:val="0"/>
          <w:i w:val="0"/>
          <w:color w:val="000000"/>
          <w:sz w:val="24"/>
        </w:rPr>
        <w:t>调研贯穿项目全过程，不同阶段有不同重点：投标阶段的现场踏勘，决定报得准不准；开工前的现场复核，决定施组和平面布置对不对；班组访谈，掌握工序效率、窝工点、材料浪费和真实安全状态；专题调研，针对成本偏差、进度滞后、质量通病、安全隐患等具体问题“解剖麻雀”；市场与业主调研，为后续投标、回款和合作打基础。每一次重大决策之前，都要先问一句：我们调查过了吗？</w:t>
      </w:r>
    </w:p>
    <w:p>
      <w:pPr>
        <w:pStyle w:val="sec_head"/>
      </w:pPr>
      <w:r>
        <w:t>21.3　调研方法：到现场去、到班组去</w:t>
      </w:r>
    </w:p>
    <w:p>
      <w:pPr>
        <w:spacing w:before="0" w:after="0" w:line="360" w:lineRule="auto"/>
        <w:ind w:firstLine="480"/>
        <w:jc w:val="both"/>
      </w:pPr>
      <w:r>
        <w:rPr>
          <w:rFonts w:ascii="Times New Roman" w:hAnsi="Times New Roman" w:eastAsia="宋体"/>
          <w:b w:val="0"/>
          <w:i w:val="0"/>
          <w:color w:val="000000"/>
          <w:sz w:val="24"/>
        </w:rPr>
        <w:t>方法要实用，不要玄乎。一是实地观察，带着眼睛走，看真实作业状态而不是准备好的样板；二是测量取数，用仪器、卷尺、台账拿到硬数据，不凭目测估；三是个别访谈，和班组长、老工人、技术骨干一对一聊；四是开调查会，找几类有代表性的人一起讨论，让不同意见都讲出来；五是查阅台账和图纸，把现场和资料对上；六是解剖一只麻雀，把一个班组、一道工序、一笔费用从头到尾看透，再举一反三。</w:t>
      </w:r>
    </w:p>
    <w:p>
      <w:pPr>
        <w:pStyle w:val="sec_head"/>
      </w:pPr>
      <w:r>
        <w:t>21.4　调研提纲如何设计</w:t>
      </w:r>
    </w:p>
    <w:p>
      <w:pPr>
        <w:spacing w:before="0" w:after="0" w:line="360" w:lineRule="auto"/>
        <w:ind w:firstLine="480"/>
        <w:jc w:val="both"/>
      </w:pPr>
      <w:r>
        <w:rPr>
          <w:rFonts w:ascii="Times New Roman" w:hAnsi="Times New Roman" w:eastAsia="宋体"/>
          <w:b w:val="0"/>
          <w:i w:val="0"/>
          <w:color w:val="000000"/>
          <w:sz w:val="24"/>
        </w:rPr>
        <w:t>不能漫无目的地去“转一圈”，出发前要有提纲。提纲要围绕“要回答什么问题”来设计：先定目的——这次调研到底要搞清楚哪几件事；再列问题——多用开放式提问，少用诱导式提问；每问一个问题，准备好追问要点和期望拿到的数据或事实；准备好记录栏，当场记、当天整理。提纲不是教条，现场发现新情况要能随时调整。</w:t>
      </w:r>
    </w:p>
    <w:p>
      <w:pPr>
        <w:pStyle w:val="sec_head"/>
      </w:pPr>
      <w:r>
        <w:t>21.5　调研的纪律：不带框框、兼听则明</w:t>
      </w:r>
    </w:p>
    <w:p>
      <w:pPr>
        <w:spacing w:before="0" w:after="0" w:line="360" w:lineRule="auto"/>
        <w:ind w:firstLine="480"/>
        <w:jc w:val="both"/>
      </w:pPr>
      <w:r>
        <w:rPr>
          <w:rFonts w:ascii="Times New Roman" w:hAnsi="Times New Roman" w:eastAsia="宋体"/>
          <w:b w:val="0"/>
          <w:i w:val="0"/>
          <w:color w:val="000000"/>
          <w:sz w:val="24"/>
        </w:rPr>
        <w:t>调研最忌先有结论再找证据——带着框框下去，符合自己想法的就记，不符合的就不听，那是自欺欺人。要放下架子、到一线到班组，听表扬更要听批评，听管理人员更要听工人；兼听则明，偏信则暗，对同一问题要多问几个人、多换几个角度。涉及工人计件收入等敏感信息，要注意方式、不诱导、不泄露个人隐私，尊重访谈对象。</w:t>
      </w:r>
    </w:p>
    <w:p>
      <w:pPr>
        <w:pStyle w:val="sec_head"/>
      </w:pPr>
      <w:r>
        <w:t>21.6　从材料到结论：去粗取精、由表及里</w:t>
      </w:r>
    </w:p>
    <w:p>
      <w:pPr>
        <w:spacing w:before="0" w:after="0" w:line="360" w:lineRule="auto"/>
        <w:ind w:firstLine="480"/>
        <w:jc w:val="both"/>
      </w:pPr>
      <w:r>
        <w:rPr>
          <w:rFonts w:ascii="Times New Roman" w:hAnsi="Times New Roman" w:eastAsia="宋体"/>
          <w:b w:val="0"/>
          <w:i w:val="0"/>
          <w:color w:val="000000"/>
          <w:sz w:val="24"/>
        </w:rPr>
        <w:t>调查材料一大堆，不能堆砌了事。毛泽东同志概括过十六个字：去粗取精、去伪存真、由此及彼、由表及里。把有用的挑出来，把可疑的甄别掉，把零散的材料串起来，从现象深挖到原因。结论必须有数据和事实支撑，重要数据注明来源和时间；存疑的、没核实的，不写入结论，宁可说“待核实”，也不能凭印象下判断。</w:t>
      </w:r>
    </w:p>
    <w:p>
      <w:pPr>
        <w:pStyle w:val="sec_head"/>
      </w:pPr>
      <w:r>
        <w:t>21.7　调研成果的转化与留痕</w:t>
      </w:r>
    </w:p>
    <w:p>
      <w:pPr>
        <w:spacing w:before="0" w:after="0" w:line="360" w:lineRule="auto"/>
        <w:ind w:firstLine="480"/>
        <w:jc w:val="both"/>
      </w:pPr>
      <w:r>
        <w:rPr>
          <w:rFonts w:ascii="Times New Roman" w:hAnsi="Times New Roman" w:eastAsia="宋体"/>
          <w:b w:val="0"/>
          <w:i w:val="0"/>
          <w:color w:val="000000"/>
          <w:sz w:val="24"/>
        </w:rPr>
        <w:t>调研的目的是解决问题。调研结束要形成简明的结论和可操作的措施，明确谁去改、什么时候改完，并跟踪落实情况，不能“调查一阵风、报告锁柜中”。调研计划、提纲、访谈记录、数据来源、结论和整改措施都要留痕归档，既作为决策依据，也作为后续复盘和审计的原始资料。</w:t>
      </w:r>
    </w:p>
    <w:p>
      <w:pPr>
        <w:pStyle w:val="sec_head"/>
      </w:pPr>
      <w:r>
        <w:t>21.8　开好调查会：人、数、态度、记录</w:t>
      </w:r>
    </w:p>
    <w:p>
      <w:pPr>
        <w:spacing w:before="0" w:after="0" w:line="360" w:lineRule="auto"/>
        <w:ind w:firstLine="480"/>
        <w:jc w:val="both"/>
      </w:pPr>
      <w:r>
        <w:rPr>
          <w:rFonts w:ascii="Times New Roman" w:hAnsi="Times New Roman" w:eastAsia="宋体"/>
          <w:b w:val="0"/>
          <w:i w:val="0"/>
          <w:color w:val="000000"/>
          <w:sz w:val="24"/>
        </w:rPr>
        <w:t>毛泽东同志在《反对本本主义》中专门讲过“调查的技术”，落到项目上就是四条。一是人选要对：到会的必须是真正经历过那件事的人，既有管理人员也有一线工人，既有老师傅也有年轻骨干，持反面意见的人更要请；二是人数适当：一般五六人、七八人，问题复杂的可再多些，太少听不到全面意见，太多则七嘴八舌难深入；三是态度要谦：放下架子、甘当小学生，让人家讲真话，不质问、不驳倒、不定调子；四是自己做记录：当场记、当天整理，不能只靠别人代写，更不能凭记忆回去补。调查会要开成讨论式的会，一问一答、互相启发，而不是宣读式的汇报会。</w:t>
      </w:r>
    </w:p>
    <w:p>
      <w:pPr>
        <w:pStyle w:val="sec_head"/>
      </w:pPr>
      <w:r>
        <w:t>21.9　解剖麻雀：把一个典型看透</w:t>
      </w:r>
    </w:p>
    <w:p>
      <w:pPr>
        <w:spacing w:before="0" w:after="0" w:line="360" w:lineRule="auto"/>
        <w:ind w:firstLine="480"/>
        <w:jc w:val="both"/>
      </w:pPr>
      <w:r>
        <w:rPr>
          <w:rFonts w:ascii="Times New Roman" w:hAnsi="Times New Roman" w:eastAsia="宋体"/>
          <w:b w:val="0"/>
          <w:i w:val="0"/>
          <w:color w:val="000000"/>
          <w:sz w:val="24"/>
        </w:rPr>
        <w:t>“解剖麻雀”就是典型剖析——麻雀虽小、五脏俱全，把一个班组、一道工序、一笔费用、一个质量通病从头到尾看透，再推及一般。项目上不要贪多求全：与其同时看十个点都走马观花，不如把一个钢筋加工棚的下料、领用、废料、过磅台账跟到底，把一次混凝土浇筑从开盘、振捣、养护到强度报告全过程跟到底。选典型要有代表性，问题最突出的要解剖，做得好的也要解剖，正反两面对比着看。解剖出来的结论要能举一反三，说清“为什么这个班组工效高”“为什么这道工序返工率高”，而不是只记一本流水账。</w:t>
      </w:r>
    </w:p>
    <w:p>
      <w:pPr>
        <w:pStyle w:val="sec_head"/>
      </w:pPr>
      <w:r>
        <w:t>21.10　数据来源与核实：多源交叉、存疑待证</w:t>
      </w:r>
    </w:p>
    <w:p>
      <w:pPr>
        <w:spacing w:before="0" w:after="0" w:line="360" w:lineRule="auto"/>
        <w:ind w:firstLine="480"/>
        <w:jc w:val="both"/>
      </w:pPr>
      <w:r>
        <w:rPr>
          <w:rFonts w:ascii="Times New Roman" w:hAnsi="Times New Roman" w:eastAsia="宋体"/>
          <w:b w:val="0"/>
          <w:i w:val="0"/>
          <w:color w:val="000000"/>
          <w:sz w:val="24"/>
        </w:rPr>
        <w:t>调研拿到的数据，不能听到什么就信什么。一要多源交叉：工效问班组、问施工员、看考勤和工程量台账，三方对得上才算数；成本问商务、问财务、翻合同和领料单；质量看实体检测、看验收记录、看影像资料。二要当场取硬数：用卷尺、仪器、过磅单、考勤表说话，不接受“大概、差不多”。三要标注来源和时间：每个关键数字记下来自哪份台账、哪天、谁提供的。四要存疑待证：对说法悬殊、来源单一、与常识相悖的，先列入“待核实项”继续查证，不写入结论；宁可在报告里写“待核实”，也不凭印象下判断。这正是“去伪存真、由表及里”的落地功夫。</w:t>
      </w:r>
    </w:p>
    <w:p>
      <w:pPr>
        <w:pStyle w:val="attach_div"/>
        <w:pageBreakBefore/>
        <w:jc w:val="center"/>
      </w:pPr>
      <w:r>
        <w:t>第21章　章末附件</w:t>
      </w:r>
    </w:p>
    <w:p>
      <w:pPr>
        <w:spacing w:before="0" w:after="0" w:line="360" w:lineRule="auto"/>
        <w:ind w:firstLine="480"/>
        <w:jc w:val="both"/>
      </w:pPr>
      <w:r>
        <w:rPr>
          <w:rFonts w:ascii="Times New Roman" w:hAnsi="Times New Roman" w:eastAsia="宋体"/>
          <w:b w:val="0"/>
          <w:i w:val="0"/>
          <w:color w:val="000000"/>
          <w:sz w:val="24"/>
        </w:rPr>
        <w:t>本页之后为《调查研究：没有调查就没有发言权》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56" w:name="_LarkToc00156"/>
      <w:r>
        <w:t>附件21-1　调查研究计划表与调研提纲模板</w:t>
      </w:r>
      <w:bookmarkEnd w:id="156"/>
    </w:p>
    <w:p>
      <w:pPr>
        <w:spacing w:before="0" w:after="40" w:line="312" w:lineRule="auto"/>
        <w:ind w:firstLine="0"/>
        <w:jc w:val="left"/>
      </w:pPr>
      <w:r>
        <w:rPr>
          <w:rFonts w:ascii="Times New Roman" w:hAnsi="Times New Roman" w:eastAsia="宋体"/>
          <w:b w:val="0"/>
          <w:i w:val="0"/>
          <w:color w:val="595959"/>
          <w:sz w:val="18"/>
        </w:rPr>
        <w:t>【归属】第21章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【用途】由调研牵头人在出发前编制计划和提纲，调研过程中如实记录，结束后形成结论并跟踪整改。“示例”行仅为说明填写方法，使用时删除。</w:t>
      </w:r>
    </w:p>
    <w:p>
      <w:pPr>
        <w:keepNext/>
        <w:spacing w:before="80" w:after="40" w:line="288" w:lineRule="auto"/>
        <w:ind w:firstLine="0"/>
        <w:jc w:val="center"/>
      </w:pPr>
      <w:r>
        <w:rPr>
          <w:rFonts w:ascii="Times New Roman" w:hAnsi="Times New Roman" w:eastAsia="黑体"/>
          <w:b/>
          <w:i w:val="0"/>
          <w:color w:val="000000"/>
          <w:sz w:val="21"/>
        </w:rPr>
        <w:t>表21-1　调查研究计划表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调研主题</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目的（要回答的问题）</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调研对象/点位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方式</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时间</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调研人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成果形式</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（示例）主体结构混凝土成本偏差</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为何实际成本超目标成本5%？</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钢筋、混凝土班组；商砼站；财务台账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查资料+访谈+测量</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2026-06-10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商务经理</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专题调研报告</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开工前现场条件复核</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临水临电、道路、堆场是否满足施组</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现场各点位</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踏勘+测量</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进场前</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生产经理</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踏勘记录</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班组工效与窝工调研</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关键工序实际工效、窝工点在哪</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木工、钢筋、混凝土班组</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调查会+跟班观察</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主体阶段</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生产经理</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工效分析</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材料浪费与损耗调研</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钢筋、模板损耗率为何偏高</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加工棚、堆场、台账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测量+查台账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主体阶段</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物资经理</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损耗分析</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表21-2　调研提纲模板（开放式问题）</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调研问题（开放式）</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追问要点</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期望获取的数据/事实</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记录栏</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（示例）这道工序现在一天能干多少？怎么干的？</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人数、分工、机具、等待时间</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工效（m³/工日）、窝工时长</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目前班组干活最不顺手、最耽误时间的是哪一环？</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是图纸、材料、机械还是交叉作业</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窝工原因、频次、影响天数</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材料进场和领用有没有短缺、浪费？</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验收、保管、下料、退库各环节</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实际损耗率、与定额对比</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现场安全防护和交底做到位了吗？</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哪几处最危险、交底听没听懂</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隐患点、违章情况</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计件工资算得清、发得及时吗？</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计价方式、有无争议、是否足额</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工人月均收入、争议件数</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对项目管理和后勤还有什么意见？</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食宿、交通、协调、生活</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共性意见清单</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表21-3　调查会与访谈记录</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时间</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地点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主持人</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参加人（人数/构成）</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发言要点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不同意见</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结论与待核实项</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2026-06-10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现场会议室</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商务经理</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8人（管理3、班组5）</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商砼超耗与等待时间过长</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班组认为是供料不及时，项目部认为是浇筑组织问题</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先核实供料记录；待核实浇筑台账</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调研结论须有数据和事实支撑，重要数据注明来源与时间；存疑的事项不写入结论，列入“待核实项”继续查证；访谈涉及工人收入等敏感信息时不诱导、不公开个人隐私。具体调研安排按项目实际需要确定。</w:t>
      </w:r>
    </w:p>
    <w:p>
      <w:pPr>
        <w:pStyle w:val="Heading2"/>
        <w:pageBreakBefore/>
      </w:pPr>
      <w:bookmarkStart w:id="27" w:name="_LarkToc00027"/>
      <w:r>
        <w:t>第22章　复盘与自我革命：实践—认识—再实践</w:t>
      </w:r>
      <w:bookmarkEnd w:id="27"/>
    </w:p>
    <w:p>
      <w:pPr>
        <w:pStyle w:val="sec_head"/>
      </w:pPr>
      <w:r>
        <w:t>22.1　为什么要复盘：经验不沉淀等于白交学费</w:t>
      </w:r>
    </w:p>
    <w:p>
      <w:pPr>
        <w:spacing w:before="0" w:after="0" w:line="360" w:lineRule="auto"/>
        <w:ind w:firstLine="480"/>
        <w:jc w:val="both"/>
      </w:pPr>
      <w:r>
        <w:rPr>
          <w:rFonts w:ascii="Times New Roman" w:hAnsi="Times New Roman" w:eastAsia="宋体"/>
          <w:b w:val="0"/>
          <w:i w:val="0"/>
          <w:color w:val="000000"/>
          <w:sz w:val="24"/>
        </w:rPr>
        <w:t>《实践论》阐明了认识与实践的辩证关系：认识来源于实践，又转过来指导实践，实践、认识、再实践、再认识，循环往复以至无穷。工程项目是最生动的实践场，一个项目干完，如果教训留在当事人脑子里、经验只停留在口头上，换人再来一遍、同类问题重复发生，那这笔“学费”就算白交了。复盘不是为了追究责任，而是把零散的、个人的、感性的经验，上升为系统的、组织的、可复用的认识，再用它指导下一个项目的实践。企业之间的差距，往往不在于谁没踩过坑，而在于谁踩过的坑都变成了别人绕不开、自己绕得开的路标。</w:t>
      </w:r>
    </w:p>
    <w:p>
      <w:pPr>
        <w:pStyle w:val="sec_head"/>
      </w:pPr>
      <w:r>
        <w:t>22.2　复盘的三个层次：月度、节点、竣工</w:t>
      </w:r>
    </w:p>
    <w:p>
      <w:pPr>
        <w:spacing w:before="0" w:after="0" w:line="360" w:lineRule="auto"/>
        <w:ind w:firstLine="480"/>
        <w:jc w:val="both"/>
      </w:pPr>
      <w:r>
        <w:rPr>
          <w:rFonts w:ascii="Times New Roman" w:hAnsi="Times New Roman" w:eastAsia="宋体"/>
          <w:b w:val="0"/>
          <w:i w:val="0"/>
          <w:color w:val="000000"/>
          <w:sz w:val="24"/>
        </w:rPr>
        <w:t>复盘不能等到竣工才做，那样问题已经沉淀两年，记忆模糊、责任难分、损失已成。应当建立三个层次、层层递进的复盘机制：</w:t>
      </w:r>
    </w:p>
    <w:p>
      <w:pPr>
        <w:pStyle w:val="ListBullet"/>
        <w:spacing w:before="0" w:after="0" w:line="360" w:lineRule="auto"/>
        <w:ind w:firstLine="0" w:left="420"/>
        <w:jc w:val="both"/>
      </w:pPr>
      <w:r>
        <w:rPr>
          <w:rFonts w:ascii="Times New Roman" w:hAnsi="Times New Roman" w:eastAsia="宋体"/>
          <w:b w:val="0"/>
          <w:i w:val="0"/>
          <w:color w:val="000000"/>
          <w:sz w:val="24"/>
        </w:rPr>
        <w:t>月度（周）复盘：以月例会为载体，对照进度、成本、质量、安全目标，偏差当月分析、当月整改，解决“正在发生”的问题，对应附件22-1。</w:t>
      </w:r>
    </w:p>
    <w:p>
      <w:pPr>
        <w:pStyle w:val="ListBullet"/>
        <w:spacing w:before="0" w:after="0" w:line="360" w:lineRule="auto"/>
        <w:ind w:firstLine="0" w:left="420"/>
        <w:jc w:val="both"/>
      </w:pPr>
      <w:r>
        <w:rPr>
          <w:rFonts w:ascii="Times New Roman" w:hAnsi="Times New Roman" w:eastAsia="宋体"/>
          <w:b w:val="0"/>
          <w:i w:val="0"/>
          <w:color w:val="000000"/>
          <w:sz w:val="24"/>
        </w:rPr>
        <w:t>节点复盘：在基础完工、主体封顶、二次结构完成、装饰装修插入、竣工预验收等重大节点，复盘该阶段目标完成情况，为下一阶段资源调配和方案调整提供依据。</w:t>
      </w:r>
    </w:p>
    <w:p>
      <w:pPr>
        <w:pStyle w:val="ListBullet"/>
        <w:spacing w:before="0" w:after="0" w:line="360" w:lineRule="auto"/>
        <w:ind w:firstLine="0" w:left="420"/>
        <w:jc w:val="both"/>
      </w:pPr>
      <w:r>
        <w:rPr>
          <w:rFonts w:ascii="Times New Roman" w:hAnsi="Times New Roman" w:eastAsia="宋体"/>
          <w:b w:val="0"/>
          <w:i w:val="0"/>
          <w:color w:val="000000"/>
          <w:sz w:val="24"/>
        </w:rPr>
        <w:t>竣工复盘（项目后评价）：项目交付后三个月内完成，全面评价工期、质量、安全、成本、回款、合同履约、团队、合规八个维度，把可复制做法和深刻教训正式入库，对应附件22-2。</w:t>
      </w:r>
    </w:p>
    <w:p>
      <w:pPr>
        <w:pStyle w:val="sec_head"/>
      </w:pPr>
      <w:r>
        <w:t>22.3　复盘的方法：PDCA循环与“目标—结果—偏差—原因—改进”</w:t>
      </w:r>
    </w:p>
    <w:p>
      <w:pPr>
        <w:spacing w:before="0" w:after="0" w:line="360" w:lineRule="auto"/>
        <w:ind w:firstLine="480"/>
        <w:jc w:val="both"/>
      </w:pPr>
      <w:r>
        <w:rPr>
          <w:rFonts w:ascii="Times New Roman" w:hAnsi="Times New Roman" w:eastAsia="宋体"/>
          <w:b w:val="0"/>
          <w:i w:val="0"/>
          <w:color w:val="000000"/>
          <w:sz w:val="24"/>
        </w:rPr>
        <w:t>复盘的通用方法就是管理学中的PDCA循环：计划（Plan）—执行（Do）—检查（Check）—处置（Act），与《实践论》“实践—认识—再实践”在逻辑上完全一致。每次复盘按五步推进：</w:t>
      </w:r>
    </w:p>
    <w:p>
      <w:pPr>
        <w:pStyle w:val="ListNumber"/>
        <w:spacing w:before="0" w:after="0" w:line="360" w:lineRule="auto"/>
        <w:ind w:firstLine="0"/>
        <w:jc w:val="both"/>
      </w:pPr>
      <w:r>
        <w:rPr>
          <w:rFonts w:ascii="Times New Roman" w:hAnsi="Times New Roman" w:eastAsia="宋体"/>
          <w:b w:val="0"/>
          <w:i w:val="0"/>
          <w:color w:val="000000"/>
          <w:sz w:val="24"/>
        </w:rPr>
        <w:t>对照目标：当时计划要达成什么（进度节点、成本指标、安全质量目标），用数据说话。</w:t>
      </w:r>
    </w:p>
    <w:p>
      <w:pPr>
        <w:pStyle w:val="ListNumber"/>
        <w:spacing w:before="0" w:after="0" w:line="360" w:lineRule="auto"/>
        <w:ind w:firstLine="0"/>
        <w:jc w:val="both"/>
      </w:pPr>
      <w:r>
        <w:rPr>
          <w:rFonts w:ascii="Times New Roman" w:hAnsi="Times New Roman" w:eastAsia="宋体"/>
          <w:b w:val="0"/>
          <w:i w:val="0"/>
          <w:color w:val="000000"/>
          <w:sz w:val="24"/>
        </w:rPr>
        <w:t>陈述结果：实际做成了什么样，同样用数据和事实，不夸大、不缩小。</w:t>
      </w:r>
    </w:p>
    <w:p>
      <w:pPr>
        <w:pStyle w:val="ListNumber"/>
        <w:spacing w:before="0" w:after="0" w:line="360" w:lineRule="auto"/>
        <w:ind w:firstLine="0"/>
        <w:jc w:val="both"/>
      </w:pPr>
      <w:r>
        <w:rPr>
          <w:rFonts w:ascii="Times New Roman" w:hAnsi="Times New Roman" w:eastAsia="宋体"/>
          <w:b w:val="0"/>
          <w:i w:val="0"/>
          <w:color w:val="000000"/>
          <w:sz w:val="24"/>
        </w:rPr>
        <w:t>找出偏差：结果与目标差在哪里、差多少，区分正向偏差和负向偏差。</w:t>
      </w:r>
    </w:p>
    <w:p>
      <w:pPr>
        <w:pStyle w:val="ListNumber"/>
        <w:spacing w:before="0" w:after="0" w:line="360" w:lineRule="auto"/>
        <w:ind w:firstLine="0"/>
        <w:jc w:val="both"/>
      </w:pPr>
      <w:r>
        <w:rPr>
          <w:rFonts w:ascii="Times New Roman" w:hAnsi="Times New Roman" w:eastAsia="宋体"/>
          <w:b w:val="0"/>
          <w:i w:val="0"/>
          <w:color w:val="000000"/>
          <w:sz w:val="24"/>
        </w:rPr>
        <w:t>分析原因：连问五个“为什么”，区分主观原因（管理不到位、判断失误）和客观原因（业主变更、天气、政策），但先从主观找起，客观原因不替主观失误开脱。</w:t>
      </w:r>
    </w:p>
    <w:p>
      <w:pPr>
        <w:pStyle w:val="ListNumber"/>
        <w:spacing w:before="0" w:after="0" w:line="360" w:lineRule="auto"/>
        <w:ind w:firstLine="0"/>
        <w:jc w:val="both"/>
      </w:pPr>
      <w:r>
        <w:rPr>
          <w:rFonts w:ascii="Times New Roman" w:hAnsi="Times New Roman" w:eastAsia="宋体"/>
          <w:b w:val="0"/>
          <w:i w:val="0"/>
          <w:color w:val="000000"/>
          <w:sz w:val="24"/>
        </w:rPr>
        <w:t>落实改进：每条问题对应一条改进措施、一个责任人、一个完成时限，并规定谁来复查确认闭环。</w:t>
      </w:r>
    </w:p>
    <w:p>
      <w:pPr>
        <w:spacing w:before="0" w:after="0" w:line="360" w:lineRule="auto"/>
        <w:ind w:firstLine="480"/>
        <w:jc w:val="both"/>
      </w:pPr>
      <w:r>
        <w:rPr>
          <w:rFonts w:ascii="Times New Roman" w:hAnsi="Times New Roman" w:eastAsia="宋体"/>
          <w:b w:val="0"/>
          <w:i w:val="0"/>
          <w:color w:val="000000"/>
          <w:sz w:val="24"/>
        </w:rPr>
        <w:t>复盘会要拿数据、拿事实、拿记录，不拿印象。没有进度报表、成本数据、检查记录支撑的结论，一律视为“感觉”，不作为入库内容。</w:t>
      </w:r>
    </w:p>
    <w:p>
      <w:pPr>
        <w:pStyle w:val="sec_head"/>
      </w:pPr>
      <w:r>
        <w:t>22.4　批评与自我批评：对事不对人，敢于揭短，领导带头</w:t>
      </w:r>
    </w:p>
    <w:p>
      <w:pPr>
        <w:spacing w:before="0" w:after="0" w:line="360" w:lineRule="auto"/>
        <w:ind w:firstLine="480"/>
        <w:jc w:val="both"/>
      </w:pPr>
      <w:r>
        <w:rPr>
          <w:rFonts w:ascii="Times New Roman" w:hAnsi="Times New Roman" w:eastAsia="宋体"/>
          <w:b w:val="0"/>
          <w:i w:val="0"/>
          <w:color w:val="000000"/>
          <w:sz w:val="24"/>
        </w:rPr>
        <w:t>复盘能否见底，关键在于有没有批评与自我批评的空气。毛泽东同志把批评与自我批评概括为党的三大优良作风之一，强调“知无不言，言无不尽”“言者无罪，闻者足戒”。项目复盘要把握三条：</w:t>
      </w:r>
    </w:p>
    <w:p>
      <w:pPr>
        <w:pStyle w:val="ListBullet"/>
        <w:spacing w:before="0" w:after="0" w:line="360" w:lineRule="auto"/>
        <w:ind w:firstLine="0" w:left="420"/>
        <w:jc w:val="both"/>
      </w:pPr>
      <w:r>
        <w:rPr>
          <w:rFonts w:ascii="Times New Roman" w:hAnsi="Times New Roman" w:eastAsia="宋体"/>
          <w:b w:val="0"/>
          <w:i w:val="0"/>
          <w:color w:val="000000"/>
          <w:sz w:val="24"/>
        </w:rPr>
        <w:t>对事不对人：批评指向的是做法、流程、决策，不是个人人格；先复盘自己的责任，再谈别人的问题。</w:t>
      </w:r>
    </w:p>
    <w:p>
      <w:pPr>
        <w:pStyle w:val="ListBullet"/>
        <w:spacing w:before="0" w:after="0" w:line="360" w:lineRule="auto"/>
        <w:ind w:firstLine="0" w:left="420"/>
        <w:jc w:val="both"/>
      </w:pPr>
      <w:r>
        <w:rPr>
          <w:rFonts w:ascii="Times New Roman" w:hAnsi="Times New Roman" w:eastAsia="宋体"/>
          <w:b w:val="0"/>
          <w:i w:val="0"/>
          <w:color w:val="000000"/>
          <w:sz w:val="24"/>
        </w:rPr>
        <w:t>敢于揭短：成绩讲够、问题讲透，尤其要把当时不敢说、不愿说、说了没人听的问题摆到桌面上；怕得罪人、怕丢面子，复盘就会变成评功摆好会。</w:t>
      </w:r>
    </w:p>
    <w:p>
      <w:pPr>
        <w:pStyle w:val="ListBullet"/>
        <w:spacing w:before="0" w:after="0" w:line="360" w:lineRule="auto"/>
        <w:ind w:firstLine="0" w:left="420"/>
        <w:jc w:val="both"/>
      </w:pPr>
      <w:r>
        <w:rPr>
          <w:rFonts w:ascii="Times New Roman" w:hAnsi="Times New Roman" w:eastAsia="宋体"/>
          <w:b w:val="0"/>
          <w:i w:val="0"/>
          <w:color w:val="000000"/>
          <w:sz w:val="24"/>
        </w:rPr>
        <w:t>领导带头：项目经理和公司分管领导先作自我批评，主动把自己判断失误、决策失当之处讲清楚，下面才敢讲真话。领导护短，全员沉默；领导亮丑，全员揭短。</w:t>
      </w:r>
    </w:p>
    <w:p>
      <w:pPr>
        <w:pStyle w:val="sec_head"/>
      </w:pPr>
      <w:r>
        <w:t>22.5　问题入库与整改闭环</w:t>
      </w:r>
    </w:p>
    <w:p>
      <w:pPr>
        <w:spacing w:before="0" w:after="0" w:line="360" w:lineRule="auto"/>
        <w:ind w:firstLine="480"/>
        <w:jc w:val="both"/>
      </w:pPr>
      <w:r>
        <w:rPr>
          <w:rFonts w:ascii="Times New Roman" w:hAnsi="Times New Roman" w:eastAsia="宋体"/>
          <w:b w:val="0"/>
          <w:i w:val="0"/>
          <w:color w:val="000000"/>
          <w:sz w:val="24"/>
        </w:rPr>
        <w:t>复盘发现的问题，不能散落在会议纪要里，必须统一登记入“问题库”，实行闭环管理：一条问题对应整改措施、责任人、完成时限，到期由提出人或上级部门复查，未完成整改的不得销号，重复发生的问题升级管理、加倍问责。问题库要与隐患排查台账、质量通病台账、成本偏差台账打通，同一问题不在多个台账里重复登记、也不在任何一个台账里漏管。</w:t>
      </w:r>
    </w:p>
    <w:p>
      <w:pPr>
        <w:pStyle w:val="sec_head"/>
      </w:pPr>
      <w:r>
        <w:t>22.6　经验教训库的共享复用</w:t>
      </w:r>
    </w:p>
    <w:p>
      <w:pPr>
        <w:spacing w:before="0" w:after="0" w:line="360" w:lineRule="auto"/>
        <w:ind w:firstLine="480"/>
        <w:jc w:val="both"/>
      </w:pPr>
      <w:r>
        <w:rPr>
          <w:rFonts w:ascii="Times New Roman" w:hAnsi="Times New Roman" w:eastAsia="宋体"/>
          <w:b w:val="0"/>
          <w:i w:val="0"/>
          <w:color w:val="000000"/>
          <w:sz w:val="24"/>
        </w:rPr>
        <w:t>复盘的最终产物是经验教训库。每一条入库内容要写清：这是什么经验或教训、适用于什么场景、对应哪项制度或工法或哪张附件、是谁在什么时候总结的。新项目开工交底时，必须把与本工程类型相似的经验教训库条目作为“前车之鉴”组织学习；新工人进场、新工序施工前，要对照库里的教训检查方案。经验教训库不是档案柜里的死材料，而是投标报价、施组编制、方案审查时必须检索的活知识库。</w:t>
      </w:r>
    </w:p>
    <w:p>
      <w:pPr>
        <w:pStyle w:val="sec_head"/>
      </w:pPr>
      <w:r>
        <w:t>22.7　防止复盘走过场</w:t>
      </w:r>
    </w:p>
    <w:p>
      <w:pPr>
        <w:spacing w:before="0" w:after="0" w:line="360" w:lineRule="auto"/>
        <w:ind w:firstLine="480"/>
        <w:jc w:val="both"/>
      </w:pPr>
      <w:r>
        <w:rPr>
          <w:rFonts w:ascii="Times New Roman" w:hAnsi="Times New Roman" w:eastAsia="宋体"/>
          <w:b w:val="0"/>
          <w:i w:val="0"/>
          <w:color w:val="000000"/>
          <w:sz w:val="24"/>
        </w:rPr>
        <w:t>实践中复盘最容易走过场：开会念一遍总结、纪要写几句“领导重视、措施有力”、问题全部“基本解决”。防止走过场，抓住三条硬杠杠：</w:t>
      </w:r>
    </w:p>
    <w:p>
      <w:pPr>
        <w:pStyle w:val="ListBullet"/>
        <w:spacing w:before="0" w:after="0" w:line="360" w:lineRule="auto"/>
        <w:ind w:firstLine="0" w:left="420"/>
        <w:jc w:val="both"/>
      </w:pPr>
      <w:r>
        <w:rPr>
          <w:rFonts w:ascii="Times New Roman" w:hAnsi="Times New Roman" w:eastAsia="宋体"/>
          <w:b w:val="0"/>
          <w:i w:val="0"/>
          <w:color w:val="000000"/>
          <w:sz w:val="24"/>
        </w:rPr>
        <w:t>用结果检验：改进措施是否在下一个月、下一个项目见到了效果，要用数据验证，不以“已开会、已布置”为闭环。</w:t>
      </w:r>
    </w:p>
    <w:p>
      <w:pPr>
        <w:pStyle w:val="ListBullet"/>
        <w:spacing w:before="0" w:after="0" w:line="360" w:lineRule="auto"/>
        <w:ind w:firstLine="0" w:left="420"/>
        <w:jc w:val="both"/>
      </w:pPr>
      <w:r>
        <w:rPr>
          <w:rFonts w:ascii="Times New Roman" w:hAnsi="Times New Roman" w:eastAsia="宋体"/>
          <w:b w:val="0"/>
          <w:i w:val="0"/>
          <w:color w:val="000000"/>
          <w:sz w:val="24"/>
        </w:rPr>
        <w:t>用查重检验：同类问题在本项目重复出现三次以上、或在不同项目反复出现，说明复盘和入库失效，要倒查复盘质量。</w:t>
      </w:r>
    </w:p>
    <w:p>
      <w:pPr>
        <w:pStyle w:val="ListBullet"/>
        <w:spacing w:before="0" w:after="0" w:line="360" w:lineRule="auto"/>
        <w:ind w:firstLine="0" w:left="420"/>
        <w:jc w:val="both"/>
      </w:pPr>
      <w:r>
        <w:rPr>
          <w:rFonts w:ascii="Times New Roman" w:hAnsi="Times New Roman" w:eastAsia="宋体"/>
          <w:b w:val="0"/>
          <w:i w:val="0"/>
          <w:color w:val="000000"/>
          <w:sz w:val="24"/>
        </w:rPr>
        <w:t>用纪律检验：把复盘质量和经验入库情况纳入项目班子考核；对复盘隐瞒问题、事后被审计检查发现的，从重问责。</w:t>
      </w:r>
    </w:p>
    <w:p>
      <w:pPr>
        <w:pStyle w:val="attach_div"/>
        <w:pageBreakBefore/>
        <w:jc w:val="center"/>
      </w:pPr>
      <w:r>
        <w:t>第22章　章末附件</w:t>
      </w:r>
    </w:p>
    <w:p>
      <w:pPr>
        <w:spacing w:before="0" w:after="0" w:line="360" w:lineRule="auto"/>
        <w:ind w:firstLine="480"/>
        <w:jc w:val="both"/>
      </w:pPr>
      <w:r>
        <w:rPr>
          <w:rFonts w:ascii="Times New Roman" w:hAnsi="Times New Roman" w:eastAsia="宋体"/>
          <w:b w:val="0"/>
          <w:i w:val="0"/>
          <w:color w:val="000000"/>
          <w:sz w:val="24"/>
        </w:rPr>
        <w:t>本页之后为《复盘与自我革命：实践—认识—再实践》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57" w:name="_LarkToc00157"/>
      <w:r>
        <w:t>附件22-1　月度/节点复盘表</w:t>
      </w:r>
      <w:bookmarkEnd w:id="157"/>
    </w:p>
    <w:p>
      <w:pPr>
        <w:spacing w:before="0" w:after="40" w:line="312" w:lineRule="auto"/>
        <w:ind w:firstLine="0"/>
        <w:jc w:val="left"/>
      </w:pPr>
      <w:r>
        <w:rPr>
          <w:rFonts w:ascii="Times New Roman" w:hAnsi="Times New Roman" w:eastAsia="宋体"/>
          <w:b w:val="0"/>
          <w:i w:val="0"/>
          <w:color w:val="595959"/>
          <w:sz w:val="18"/>
        </w:rPr>
        <w:t>【归属】第22章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【用途】每月例会或重大节点完成后由项目经理组织填写，按“目标—结果—偏差—原因—改进”五步复盘，原因分析连问五个为什么，先主观后客观；改进措施必须明确责任人和时限，闭环确认后销号。</w:t>
      </w:r>
    </w:p>
    <w:p>
      <w:pPr>
        <w:keepNext/>
        <w:spacing w:before="80" w:after="40" w:line="288" w:lineRule="auto"/>
        <w:ind w:firstLine="0"/>
        <w:jc w:val="center"/>
      </w:pPr>
      <w:r>
        <w:rPr>
          <w:rFonts w:ascii="Times New Roman" w:hAnsi="Times New Roman" w:eastAsia="黑体"/>
          <w:b/>
          <w:i w:val="0"/>
          <w:color w:val="000000"/>
          <w:sz w:val="21"/>
        </w:rPr>
        <w:t>表22-1　月度/节点复盘表</w:t>
      </w:r>
    </w:p>
    <w:tbl>
      <w:tblPr>
        <w:tblStyle w:val="TableGrid"/>
        <w:tblW w:type="auto" w:w="0"/>
        <w:jc w:val="center"/>
        <w:tblLayout w:type="fixed"/>
        <w:tblLook w:firstColumn="1" w:firstRow="1" w:lastColumn="0" w:lastRow="0" w:noHBand="0" w:noVBand="1" w:val="04A0"/>
      </w:tblPr>
      <w:tblGrid>
        <w:gridCol w:w="756"/>
        <w:gridCol w:w="756"/>
        <w:gridCol w:w="756"/>
        <w:gridCol w:w="756"/>
        <w:gridCol w:w="756"/>
        <w:gridCol w:w="756"/>
        <w:gridCol w:w="756"/>
        <w:gridCol w:w="756"/>
        <w:gridCol w:w="756"/>
        <w:gridCol w:w="756"/>
        <w:gridCol w:w="756"/>
        <w:gridCol w:w="756"/>
      </w:tblGrid>
      <w:tr>
        <w:trPr>
          <w:cantSplit/>
          <w:tblHeader w:val="true"/>
        </w:trPr>
        <w:tc>
          <w:tcPr>
            <w:tcW w:type="dxa" w:w="34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复盘周期/节点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计划目标</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实际结果</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原因分析（主观/客观，五条为什么）</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经验做法</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问题与教训</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改进措施</w:t>
            </w:r>
          </w:p>
        </w:tc>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完成时限</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闭环确认</w:t>
            </w:r>
          </w:p>
        </w:tc>
      </w:tr>
      <w:tr>
        <w:trPr>
          <w:cantSpli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（示例）2026年3月/主体二层</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二层结构3月20日完成，成本不超目标</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3月26日完成，成本超支2.30万元</w:t>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工期滞后6天，成本+2.30万元</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主观：钢筋料场布置不当，二次倒运；客观：3月降雨9天。五问：为何倒运—料场二次规划—未征求班组意见—未做平面交底—平面布置会走过场</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商砼夜间连续浇筑减少冷缝</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平面布置图未向班组交底，凭经验摆料场</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重排施工平面并书面交底，料场一次到位</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生产经理</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2026-04-05</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4月10日复查合格</w:t>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4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注：示例行仅说明填写方法，使用时删除；偏差与原因须有进度报表、成本数据、检查记录支撑，不以“感觉”下结论；改进措施到期由复查人签字确认后方可销号。</w:t>
      </w:r>
    </w:p>
    <w:p>
      <w:pPr>
        <w:pStyle w:val="Heading3"/>
        <w:pageBreakBefore/>
        <w:spacing w:before="120"/>
      </w:pPr>
      <w:bookmarkStart w:id="158" w:name="_LarkToc00158"/>
      <w:r>
        <w:t>附件22-2　项目竣工复盘（后评价）表（含经验教训库）</w:t>
      </w:r>
      <w:bookmarkEnd w:id="158"/>
    </w:p>
    <w:p>
      <w:pPr>
        <w:spacing w:before="0" w:after="40" w:line="312" w:lineRule="auto"/>
        <w:ind w:firstLine="0"/>
        <w:jc w:val="left"/>
      </w:pPr>
      <w:r>
        <w:rPr>
          <w:rFonts w:ascii="Times New Roman" w:hAnsi="Times New Roman" w:eastAsia="宋体"/>
          <w:b w:val="0"/>
          <w:i w:val="0"/>
          <w:color w:val="595959"/>
          <w:sz w:val="18"/>
        </w:rPr>
        <w:t>【归属】第22章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【用途】项目交付后三个月内由公司分管领导组织，对八个维度做竣工后评价，再将可复制做法与教训逐条录入经验教训库，作为后续项目投标、施组、交底的必查知识。</w:t>
      </w:r>
    </w:p>
    <w:p>
      <w:pPr>
        <w:keepNext/>
        <w:spacing w:before="80" w:after="40" w:line="288" w:lineRule="auto"/>
        <w:ind w:firstLine="0"/>
        <w:jc w:val="center"/>
      </w:pPr>
      <w:r>
        <w:rPr>
          <w:rFonts w:ascii="Times New Roman" w:hAnsi="Times New Roman" w:eastAsia="黑体"/>
          <w:b/>
          <w:i w:val="0"/>
          <w:color w:val="000000"/>
          <w:sz w:val="21"/>
        </w:rPr>
        <w:t>表22-2-1　项目竣工后评价表（金额单位：万元）</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评价维度</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偏差与原因</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评价结论</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可复制做法</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工期</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540日历天</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□优□良□一般□差</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质量</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一次验收合格，无重大质量通病</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□优□良□一般□差</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零死亡、零重伤</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□优□良□一般□差</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成本</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目标成本5,000.00</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□节□超</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回款</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进度款支付率达合同约定</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□好□一般□差</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合同履约</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无违约、无重大争议</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□好□一般□差</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团队</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班子履职、班组稳定</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□好□一般□差</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合规</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无转包违法分包、无行政处罚</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□好□一般□差</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表22-2-2　经验教训库入库登记表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21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经验/教训描述</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适用场景</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对应制度/工法/附件</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沉淀人</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JY-001</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（示例）教训</w:t>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基础施工未提前核实既有管线，挖断燃气管道，停工赔偿</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城区改扩建、管线复杂工程</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对应附件4-3现场踏勘、附件7-6隐患台账</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2026-09-30</w:t>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注：金额保留两位小数；类别填“经验”或“教训”；经验教训库由公司工程管理部门统一编号维护，新项目开工交底必须检索同类条目；示例行用后删除。</w:t>
      </w:r>
    </w:p>
    <w:p>
      <w:pPr>
        <w:pStyle w:val="Heading3"/>
        <w:pageBreakBefore/>
        <w:spacing w:before="120"/>
      </w:pPr>
      <w:bookmarkStart w:id="159" w:name="_LarkToc00159"/>
      <w:r>
        <w:t>附件22-3　经验教训库与典型问题案例模板表</w:t>
      </w:r>
      <w:bookmarkEnd w:id="159"/>
    </w:p>
    <w:p>
      <w:pPr>
        <w:spacing w:before="0" w:after="40" w:line="312" w:lineRule="auto"/>
        <w:ind w:firstLine="0"/>
        <w:jc w:val="left"/>
      </w:pPr>
      <w:r>
        <w:rPr>
          <w:rFonts w:ascii="Times New Roman" w:hAnsi="Times New Roman" w:eastAsia="宋体"/>
          <w:b w:val="0"/>
          <w:i w:val="0"/>
          <w:color w:val="595959"/>
          <w:sz w:val="18"/>
        </w:rPr>
        <w:t>【归属】第22章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公司工程管理部门统一维护，月度、节点、竣工复盘发现的典型问题逐条入库，正反两面都收，新项目开工交底和方案审查时必须检索同类条目。“示例”行仅为说明填写方法，使用时删除；案例一律使用企业泛称，不写真实企业名。</w:t>
      </w:r>
    </w:p>
    <w:p>
      <w:pPr>
        <w:keepNext/>
        <w:spacing w:before="80" w:after="40" w:line="288" w:lineRule="auto"/>
        <w:ind w:firstLine="0"/>
        <w:jc w:val="center"/>
      </w:pPr>
      <w:r>
        <w:rPr>
          <w:rFonts w:ascii="Times New Roman" w:hAnsi="Times New Roman" w:eastAsia="黑体"/>
          <w:b/>
          <w:i w:val="0"/>
          <w:color w:val="000000"/>
          <w:sz w:val="21"/>
        </w:rPr>
        <w:t>表22-3-1　经验教训库与典型问题案例表（金额单位：万元）</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编号</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案例/问题名称</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发生情境</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现象与数据</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原因分析</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处理过程</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结论与可复用做法</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对应制度/附件</w:t>
            </w:r>
          </w:p>
        </w:tc>
      </w:tr>
      <w:tr>
        <w:trPr>
          <w:cantSpli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AL-001</w:t>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（示例）后浇带保护不到位致地下室渗漏</w:t>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主体封顶后二次结构施工阶段</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后浇带两侧发现湿渍3处，蓄水试验2处渗漏；剔凿返工12个工日，费用约1.80万元</w:t>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主观：后浇带未设保护盖板、工序交接无书面签认；客观：雨季地下水位偏高。五问：未保护→无交底→交底漏项→交接检查走过场→责任未到岗</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凿除松动混凝土、重浇微膨胀混凝土，蓄水48小时复查合格；责任班组通报</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后浇带须设硬质盖板并挂牌保护，工序交接书面签认；纳入月度复盘必查项</w:t>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对应附件22-1、附件22-2；企业质量管理制度</w:t>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金额保留两位小数；编号由公司统一编制（建议“AL-顺序号”）；案例一律使用企业泛称，不得出现真实企业名、人名；每条案例须对应到可复用做法或制度/附件，新项目开工交底必须检索同类条目；示例行用后删除。</w:t>
      </w:r>
    </w:p>
    <w:p>
      <w:pPr>
        <w:pStyle w:val="Heading2"/>
        <w:pageBreakBefore/>
      </w:pPr>
      <w:bookmarkStart w:id="28" w:name="_LarkToc00028"/>
      <w:r>
        <w:t>第23章　作风建设：实事求是、艰苦奋斗、廉洁从业</w:t>
      </w:r>
      <w:bookmarkEnd w:id="28"/>
    </w:p>
    <w:p>
      <w:pPr>
        <w:pStyle w:val="sec_head"/>
      </w:pPr>
      <w:r>
        <w:t>23.1　作风是战斗力，也是生命线</w:t>
      </w:r>
    </w:p>
    <w:p>
      <w:pPr>
        <w:spacing w:before="0" w:after="0" w:line="360" w:lineRule="auto"/>
        <w:ind w:firstLine="480"/>
        <w:jc w:val="both"/>
      </w:pPr>
      <w:r>
        <w:rPr>
          <w:rFonts w:ascii="Times New Roman" w:hAnsi="Times New Roman" w:eastAsia="宋体"/>
          <w:b w:val="0"/>
          <w:i w:val="0"/>
          <w:color w:val="000000"/>
          <w:sz w:val="24"/>
        </w:rPr>
        <w:t>毛泽东同志在党的七届二中全会上提出“两个务必”：务必使同志们继续地保持谦虚、谨慎、不骄、不躁的作风，务必使同志们继续地保持艰苦奋斗的作风。对建筑施工企业而言，作风不是软要求，而是硬战斗力——一个项目部作风涣散，进度必然拖、成本必然漏、安全必然松、质量必然粗；一个项目班子作风过硬，条件再差也能啃下来。作风建设抓的是人，而人是所有管理动作的最终落点：制度再细，靠人执行；台账再全，靠人填写。本章围绕实事求是、深入一线、厉行节约、廉洁从业四条主线，把作风要求落到日常动作上。</w:t>
      </w:r>
    </w:p>
    <w:p>
      <w:pPr>
        <w:pStyle w:val="sec_head"/>
      </w:pPr>
      <w:r>
        <w:t>23.2　反对形式主义、官僚主义</w:t>
      </w:r>
    </w:p>
    <w:p>
      <w:pPr>
        <w:spacing w:before="0" w:after="0" w:line="360" w:lineRule="auto"/>
        <w:ind w:firstLine="480"/>
        <w:jc w:val="both"/>
      </w:pPr>
      <w:r>
        <w:rPr>
          <w:rFonts w:ascii="Times New Roman" w:hAnsi="Times New Roman" w:eastAsia="宋体"/>
          <w:b w:val="0"/>
          <w:i w:val="0"/>
          <w:color w:val="000000"/>
          <w:sz w:val="24"/>
        </w:rPr>
        <w:t>形式主义、官僚主义是施工管理的大敌，在项目上有几种典型表现，要逐条对照查摆：</w:t>
      </w:r>
    </w:p>
    <w:p>
      <w:pPr>
        <w:pStyle w:val="ListBullet"/>
        <w:spacing w:before="0" w:after="0" w:line="360" w:lineRule="auto"/>
        <w:ind w:firstLine="0" w:left="420"/>
        <w:jc w:val="both"/>
      </w:pPr>
      <w:r>
        <w:rPr>
          <w:rFonts w:ascii="Times New Roman" w:hAnsi="Times New Roman" w:eastAsia="宋体"/>
          <w:b w:val="0"/>
          <w:i w:val="0"/>
          <w:color w:val="000000"/>
          <w:sz w:val="24"/>
        </w:rPr>
        <w:t>以会议落实会议：公司开完项目开，项目开完班组开，会议纪要写了厚厚一本，现场该干的还是没干。</w:t>
      </w:r>
    </w:p>
    <w:p>
      <w:pPr>
        <w:pStyle w:val="ListBullet"/>
        <w:spacing w:before="0" w:after="0" w:line="360" w:lineRule="auto"/>
        <w:ind w:firstLine="0" w:left="420"/>
        <w:jc w:val="both"/>
      </w:pPr>
      <w:r>
        <w:rPr>
          <w:rFonts w:ascii="Times New Roman" w:hAnsi="Times New Roman" w:eastAsia="宋体"/>
          <w:b w:val="0"/>
          <w:i w:val="0"/>
          <w:color w:val="000000"/>
          <w:sz w:val="24"/>
        </w:rPr>
        <w:t>以资料留痕替代实干：安全技术交底签了字就算教育过了，检查记录写得漂亮而现场隐患照旧，资料和现场“两张皮”。</w:t>
      </w:r>
    </w:p>
    <w:p>
      <w:pPr>
        <w:pStyle w:val="ListBullet"/>
        <w:spacing w:before="0" w:after="0" w:line="360" w:lineRule="auto"/>
        <w:ind w:firstLine="0" w:left="420"/>
        <w:jc w:val="both"/>
      </w:pPr>
      <w:r>
        <w:rPr>
          <w:rFonts w:ascii="Times New Roman" w:hAnsi="Times New Roman" w:eastAsia="宋体"/>
          <w:b w:val="0"/>
          <w:i w:val="0"/>
          <w:color w:val="000000"/>
          <w:sz w:val="24"/>
        </w:rPr>
        <w:t>检查过多过滥：各类检查表重复要、报表重复填，班组疲于应付签字，真正查隐患的时间被挤占。</w:t>
      </w:r>
    </w:p>
    <w:p>
      <w:pPr>
        <w:pStyle w:val="ListBullet"/>
        <w:spacing w:before="0" w:after="0" w:line="360" w:lineRule="auto"/>
        <w:ind w:firstLine="0" w:left="420"/>
        <w:jc w:val="both"/>
      </w:pPr>
      <w:r>
        <w:rPr>
          <w:rFonts w:ascii="Times New Roman" w:hAnsi="Times New Roman" w:eastAsia="宋体"/>
          <w:b w:val="0"/>
          <w:i w:val="0"/>
          <w:color w:val="000000"/>
          <w:sz w:val="24"/>
        </w:rPr>
        <w:t>坐在办公室遥控：调度靠电话、情况靠汇报、决策靠想象，不到现场看一眼，对进度偏差和隐患反应迟钝。</w:t>
      </w:r>
    </w:p>
    <w:p>
      <w:pPr>
        <w:spacing w:before="0" w:after="0" w:line="360" w:lineRule="auto"/>
        <w:ind w:firstLine="480"/>
        <w:jc w:val="both"/>
      </w:pPr>
      <w:r>
        <w:rPr>
          <w:rFonts w:ascii="Times New Roman" w:hAnsi="Times New Roman" w:eastAsia="宋体"/>
          <w:b w:val="0"/>
          <w:i w:val="0"/>
          <w:color w:val="000000"/>
          <w:sz w:val="24"/>
        </w:rPr>
        <w:t>反对形式主义，关键是树立“结果导向、现场导向”：会议要解决问题而不是走程序，资料要反映现场而不是应付检查，检查要合并同类项、直奔问题，报表要能合并就合并、能自动生成就自动生成。</w:t>
      </w:r>
    </w:p>
    <w:p>
      <w:pPr>
        <w:pStyle w:val="sec_head"/>
      </w:pPr>
      <w:r>
        <w:t>23.3　深入一线：带班、旁站、走班组，解决真问题</w:t>
      </w:r>
    </w:p>
    <w:p>
      <w:pPr>
        <w:spacing w:before="0" w:after="0" w:line="360" w:lineRule="auto"/>
        <w:ind w:firstLine="480"/>
        <w:jc w:val="both"/>
      </w:pPr>
      <w:r>
        <w:rPr>
          <w:rFonts w:ascii="Times New Roman" w:hAnsi="Times New Roman" w:eastAsia="宋体"/>
          <w:b w:val="0"/>
          <w:i w:val="0"/>
          <w:color w:val="000000"/>
          <w:sz w:val="24"/>
        </w:rPr>
        <w:t>实事求是在工地上的第一条，就是脚踩在作业面上。项目经理和管理人员要坚持：</w:t>
      </w:r>
    </w:p>
    <w:p>
      <w:pPr>
        <w:pStyle w:val="ListBullet"/>
        <w:spacing w:before="0" w:after="0" w:line="360" w:lineRule="auto"/>
        <w:ind w:firstLine="0" w:left="420"/>
        <w:jc w:val="both"/>
      </w:pPr>
      <w:r>
        <w:rPr>
          <w:rFonts w:ascii="Times New Roman" w:hAnsi="Times New Roman" w:eastAsia="宋体"/>
          <w:b w:val="0"/>
          <w:i w:val="0"/>
          <w:color w:val="000000"/>
          <w:sz w:val="24"/>
        </w:rPr>
        <w:t>带班生产：项目经理、生产经理按规定在施工现场带班，危大工程施工期间管理人员在岗旁站，人不到位就是失职。</w:t>
      </w:r>
    </w:p>
    <w:p>
      <w:pPr>
        <w:pStyle w:val="ListBullet"/>
        <w:spacing w:before="0" w:after="0" w:line="360" w:lineRule="auto"/>
        <w:ind w:firstLine="0" w:left="420"/>
        <w:jc w:val="both"/>
      </w:pPr>
      <w:r>
        <w:rPr>
          <w:rFonts w:ascii="Times New Roman" w:hAnsi="Times New Roman" w:eastAsia="宋体"/>
          <w:b w:val="0"/>
          <w:i w:val="0"/>
          <w:color w:val="000000"/>
          <w:sz w:val="24"/>
        </w:rPr>
        <w:t>走班组、进食堂：每周至少两次走到作业班组中间，听工人怎么说、看工人怎么干，工资发放、食宿条件、劳保用品这些事，坐办公室是发现不了的。</w:t>
      </w:r>
    </w:p>
    <w:p>
      <w:pPr>
        <w:pStyle w:val="ListBullet"/>
        <w:spacing w:before="0" w:after="0" w:line="360" w:lineRule="auto"/>
        <w:ind w:firstLine="0" w:left="420"/>
        <w:jc w:val="both"/>
      </w:pPr>
      <w:r>
        <w:rPr>
          <w:rFonts w:ascii="Times New Roman" w:hAnsi="Times New Roman" w:eastAsia="宋体"/>
          <w:b w:val="0"/>
          <w:i w:val="0"/>
          <w:color w:val="000000"/>
          <w:sz w:val="24"/>
        </w:rPr>
        <w:t>现场解决真问题：发现的问题当场定措施、定人、定时限，带回办公室再研究就拖成了大问题；对班组反映的材料不到位、机械故障、交叉作业干扰，当天有回应。</w:t>
      </w:r>
    </w:p>
    <w:p>
      <w:pPr>
        <w:pStyle w:val="sec_head"/>
      </w:pPr>
      <w:r>
        <w:t>23.4　艰苦奋斗与厉行节约</w:t>
      </w:r>
    </w:p>
    <w:p>
      <w:pPr>
        <w:spacing w:before="0" w:after="0" w:line="360" w:lineRule="auto"/>
        <w:ind w:firstLine="480"/>
        <w:jc w:val="both"/>
      </w:pPr>
      <w:r>
        <w:rPr>
          <w:rFonts w:ascii="Times New Roman" w:hAnsi="Times New Roman" w:eastAsia="宋体"/>
          <w:b w:val="0"/>
          <w:i w:val="0"/>
          <w:color w:val="000000"/>
          <w:sz w:val="24"/>
        </w:rPr>
        <w:t>施工行业利润薄，省下来的就是赚到的。厉行节约不是降低必要的安全、质量投入，而是把每一分钱花在刀刃上：</w:t>
      </w:r>
    </w:p>
    <w:p>
      <w:pPr>
        <w:pStyle w:val="ListBullet"/>
        <w:spacing w:before="0" w:after="0" w:line="360" w:lineRule="auto"/>
        <w:ind w:firstLine="0" w:left="420"/>
        <w:jc w:val="both"/>
      </w:pPr>
      <w:r>
        <w:rPr>
          <w:rFonts w:ascii="Times New Roman" w:hAnsi="Times New Roman" w:eastAsia="宋体"/>
          <w:b w:val="0"/>
          <w:i w:val="0"/>
          <w:color w:val="000000"/>
          <w:sz w:val="24"/>
        </w:rPr>
        <w:t>临时设施：办公生活设施按实用标准搭建，不搞豪华板房、不做形象工程，完工后能周转的一律周转。</w:t>
      </w:r>
    </w:p>
    <w:p>
      <w:pPr>
        <w:pStyle w:val="ListBullet"/>
        <w:spacing w:before="0" w:after="0" w:line="360" w:lineRule="auto"/>
        <w:ind w:firstLine="0" w:left="420"/>
        <w:jc w:val="both"/>
      </w:pPr>
      <w:r>
        <w:rPr>
          <w:rFonts w:ascii="Times New Roman" w:hAnsi="Times New Roman" w:eastAsia="宋体"/>
          <w:b w:val="0"/>
          <w:i w:val="0"/>
          <w:color w:val="000000"/>
          <w:sz w:val="24"/>
        </w:rPr>
        <w:t>办公开支：双面打印、线上流转、按需配车，业务招待从俭，不安排与工作无关的宴请和接待。</w:t>
      </w:r>
    </w:p>
    <w:p>
      <w:pPr>
        <w:pStyle w:val="ListBullet"/>
        <w:spacing w:before="0" w:after="0" w:line="360" w:lineRule="auto"/>
        <w:ind w:firstLine="0" w:left="420"/>
        <w:jc w:val="both"/>
      </w:pPr>
      <w:r>
        <w:rPr>
          <w:rFonts w:ascii="Times New Roman" w:hAnsi="Times New Roman" w:eastAsia="宋体"/>
          <w:b w:val="0"/>
          <w:i w:val="0"/>
          <w:color w:val="000000"/>
          <w:sz w:val="24"/>
        </w:rPr>
        <w:t>材料机械：严格限额领料（附件8-3），废料回收利用，周转材料及时退场不闲置，机械按台班调度、不空转。</w:t>
      </w:r>
    </w:p>
    <w:p>
      <w:pPr>
        <w:spacing w:before="0" w:after="0" w:line="360" w:lineRule="auto"/>
        <w:ind w:firstLine="480"/>
        <w:jc w:val="both"/>
      </w:pPr>
      <w:r>
        <w:rPr>
          <w:rFonts w:ascii="Times New Roman" w:hAnsi="Times New Roman" w:eastAsia="宋体"/>
          <w:b w:val="0"/>
          <w:i w:val="0"/>
          <w:color w:val="000000"/>
          <w:sz w:val="24"/>
        </w:rPr>
        <w:t>要特别划清一条线：节约的是管理性开支和跑冒滴漏，绝不能在安全防护、质量措施、农民工工资上“节约”——那不是艰苦奋斗，是违法违规。</w:t>
      </w:r>
    </w:p>
    <w:p>
      <w:pPr>
        <w:pStyle w:val="sec_head"/>
      </w:pPr>
      <w:r>
        <w:t>23.5　廉洁从业风险点：盯住六个关键环节</w:t>
      </w:r>
    </w:p>
    <w:p>
      <w:pPr>
        <w:spacing w:before="0" w:after="0" w:line="360" w:lineRule="auto"/>
        <w:ind w:firstLine="480"/>
        <w:jc w:val="both"/>
      </w:pPr>
      <w:r>
        <w:rPr>
          <w:rFonts w:ascii="Times New Roman" w:hAnsi="Times New Roman" w:eastAsia="宋体"/>
          <w:b w:val="0"/>
          <w:i w:val="0"/>
          <w:color w:val="000000"/>
          <w:sz w:val="24"/>
        </w:rPr>
        <w:t>项目上的廉洁风险集中在权力集中、资金密集、自由裁量空间大的环节，重点盯住六类：</w:t>
      </w:r>
    </w:p>
    <w:p>
      <w:pPr>
        <w:pStyle w:val="ListBullet"/>
        <w:spacing w:before="0" w:after="0" w:line="360" w:lineRule="auto"/>
        <w:ind w:firstLine="0" w:left="420"/>
        <w:jc w:val="both"/>
      </w:pPr>
      <w:r>
        <w:rPr>
          <w:rFonts w:ascii="Times New Roman" w:hAnsi="Times New Roman" w:eastAsia="宋体"/>
          <w:b w:val="0"/>
          <w:i w:val="0"/>
          <w:color w:val="000000"/>
          <w:sz w:val="24"/>
        </w:rPr>
        <w:t>采购环节：材料设备采购询价、定价、选供应商，防止内定品牌、吃回扣、高价低质。</w:t>
      </w:r>
    </w:p>
    <w:p>
      <w:pPr>
        <w:pStyle w:val="ListBullet"/>
        <w:spacing w:before="0" w:after="0" w:line="360" w:lineRule="auto"/>
        <w:ind w:firstLine="0" w:left="420"/>
        <w:jc w:val="both"/>
      </w:pPr>
      <w:r>
        <w:rPr>
          <w:rFonts w:ascii="Times New Roman" w:hAnsi="Times New Roman" w:eastAsia="宋体"/>
          <w:b w:val="0"/>
          <w:i w:val="0"/>
          <w:color w:val="000000"/>
          <w:sz w:val="24"/>
        </w:rPr>
        <w:t>分包环节：分包队伍选用、分包合同签订、分包结算，防止人情分包、围标串标、高估冒算。</w:t>
      </w:r>
    </w:p>
    <w:p>
      <w:pPr>
        <w:pStyle w:val="ListBullet"/>
        <w:spacing w:before="0" w:after="0" w:line="360" w:lineRule="auto"/>
        <w:ind w:firstLine="0" w:left="420"/>
        <w:jc w:val="both"/>
      </w:pPr>
      <w:r>
        <w:rPr>
          <w:rFonts w:ascii="Times New Roman" w:hAnsi="Times New Roman" w:eastAsia="宋体"/>
          <w:b w:val="0"/>
          <w:i w:val="0"/>
          <w:color w:val="000000"/>
          <w:sz w:val="24"/>
        </w:rPr>
        <w:t>签证变更环节：现场签证、工程量确认、变更估价，防止虚假签证、随意签量、内外勾结。</w:t>
      </w:r>
    </w:p>
    <w:p>
      <w:pPr>
        <w:pStyle w:val="ListBullet"/>
        <w:spacing w:before="0" w:after="0" w:line="360" w:lineRule="auto"/>
        <w:ind w:firstLine="0" w:left="420"/>
        <w:jc w:val="both"/>
      </w:pPr>
      <w:r>
        <w:rPr>
          <w:rFonts w:ascii="Times New Roman" w:hAnsi="Times New Roman" w:eastAsia="宋体"/>
          <w:b w:val="0"/>
          <w:i w:val="0"/>
          <w:color w:val="000000"/>
          <w:sz w:val="24"/>
        </w:rPr>
        <w:t>结算付款环节：进度款支付、结算审核、质保金返还，防止无依据付款、超付早付。</w:t>
      </w:r>
    </w:p>
    <w:p>
      <w:pPr>
        <w:pStyle w:val="ListBullet"/>
        <w:spacing w:before="0" w:after="0" w:line="360" w:lineRule="auto"/>
        <w:ind w:firstLine="0" w:left="420"/>
        <w:jc w:val="both"/>
      </w:pPr>
      <w:r>
        <w:rPr>
          <w:rFonts w:ascii="Times New Roman" w:hAnsi="Times New Roman" w:eastAsia="宋体"/>
          <w:b w:val="0"/>
          <w:i w:val="0"/>
          <w:color w:val="000000"/>
          <w:sz w:val="24"/>
        </w:rPr>
        <w:t>用人环节：关键岗位人员安排、班组选用，防止任人唯亲、安插关系人。</w:t>
      </w:r>
    </w:p>
    <w:p>
      <w:pPr>
        <w:pStyle w:val="ListBullet"/>
        <w:spacing w:before="0" w:after="0" w:line="360" w:lineRule="auto"/>
        <w:ind w:firstLine="0" w:left="420"/>
        <w:jc w:val="both"/>
      </w:pPr>
      <w:r>
        <w:rPr>
          <w:rFonts w:ascii="Times New Roman" w:hAnsi="Times New Roman" w:eastAsia="宋体"/>
          <w:b w:val="0"/>
          <w:i w:val="0"/>
          <w:color w:val="000000"/>
          <w:sz w:val="24"/>
        </w:rPr>
        <w:t>亲友交易：管理人员本人或近亲属与项目发生业务往来（供材料、包工程、租设备），必须报告并回避。</w:t>
      </w:r>
    </w:p>
    <w:p>
      <w:pPr>
        <w:pStyle w:val="sec_head"/>
      </w:pPr>
      <w:r>
        <w:t>23.6　亲清关系：与业主、监理、供应商、分包的相处之道</w:t>
      </w:r>
    </w:p>
    <w:p>
      <w:pPr>
        <w:spacing w:before="0" w:after="0" w:line="360" w:lineRule="auto"/>
        <w:ind w:firstLine="480"/>
        <w:jc w:val="both"/>
      </w:pPr>
      <w:r>
        <w:rPr>
          <w:rFonts w:ascii="Times New Roman" w:hAnsi="Times New Roman" w:eastAsia="宋体"/>
          <w:b w:val="0"/>
          <w:i w:val="0"/>
          <w:color w:val="000000"/>
          <w:sz w:val="24"/>
        </w:rPr>
        <w:t>项目要和方方面面打交道，但交往要有原则、有界限。对业主，既要积极沟通、搞好配合，又不搞无原则迁就，不合理的口头承诺要书面落实，该索赔的要按程序索赔；对监理，尊重其履职、主动报验，同时坚持原则，不搞利益交换换取验收放行；对供应商和分包，按合同办事、按规矩结算，欢迎正当竞争，谢绝一切形式的回扣、礼品和宴请；把“亲”体现在服务上、把“清”体现在规矩上，关系简单了，合作反而长久。</w:t>
      </w:r>
    </w:p>
    <w:p>
      <w:pPr>
        <w:pStyle w:val="sec_head"/>
      </w:pPr>
      <w:r>
        <w:t>23.7　廉洁制度与监督：交底、承诺、举报、一岗双责</w:t>
      </w:r>
    </w:p>
    <w:p>
      <w:pPr>
        <w:spacing w:before="0" w:after="0" w:line="360" w:lineRule="auto"/>
        <w:ind w:firstLine="480"/>
        <w:jc w:val="both"/>
      </w:pPr>
      <w:r>
        <w:rPr>
          <w:rFonts w:ascii="Times New Roman" w:hAnsi="Times New Roman" w:eastAsia="宋体"/>
          <w:b w:val="0"/>
          <w:i w:val="0"/>
          <w:color w:val="000000"/>
          <w:sz w:val="24"/>
        </w:rPr>
        <w:t>廉洁从业不能靠个人觉悟，要有制度托底：项目进场即开展廉洁交底，关键岗位人员签订廉洁从业承诺；公开举报渠道，对举报线索及时核查、为举报人保密；落实“一岗双责”，项目经理既要管生产经营，也要管廉洁作风，出了廉洁问题同责追究。对采购、分包、签证、结算等重点岗位，实行定期轮岗和强制休假，防止一个人在一个关键岗位待久了形成独立王国。</w:t>
      </w:r>
    </w:p>
    <w:p>
      <w:pPr>
        <w:spacing w:before="20" w:after="80" w:line="288" w:lineRule="auto"/>
        <w:ind w:firstLine="0"/>
        <w:jc w:val="left"/>
      </w:pPr>
      <w:r>
        <w:rPr>
          <w:rFonts w:ascii="Times New Roman" w:hAnsi="Times New Roman" w:eastAsia="宋体"/>
          <w:b w:val="0"/>
          <w:i w:val="0"/>
          <w:color w:val="404040"/>
          <w:sz w:val="18"/>
        </w:rPr>
        <w:t>依据：《中华人民共和国建筑法》《建设工程质量管理条例》关于禁止转包、违法分包、借用资质的规定；企业廉洁从业各项制度；具体以现行法规、标准、企业制度及项目所在地规定为准。</w:t>
      </w:r>
    </w:p>
    <w:p>
      <w:pPr>
        <w:pStyle w:val="attach_div"/>
        <w:pageBreakBefore/>
        <w:jc w:val="center"/>
      </w:pPr>
      <w:r>
        <w:t>第23章　章末附件</w:t>
      </w:r>
    </w:p>
    <w:p>
      <w:pPr>
        <w:spacing w:before="0" w:after="0" w:line="360" w:lineRule="auto"/>
        <w:ind w:firstLine="480"/>
        <w:jc w:val="both"/>
      </w:pPr>
      <w:r>
        <w:rPr>
          <w:rFonts w:ascii="Times New Roman" w:hAnsi="Times New Roman" w:eastAsia="宋体"/>
          <w:b w:val="0"/>
          <w:i w:val="0"/>
          <w:color w:val="000000"/>
          <w:sz w:val="24"/>
        </w:rPr>
        <w:t>本页之后为《作风建设：实事求是、艰苦奋斗、廉洁从业》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60" w:name="_LarkToc00160"/>
      <w:r>
        <w:t>附件23-1　作风建设与廉洁从业自查表</w:t>
      </w:r>
      <w:bookmarkEnd w:id="160"/>
    </w:p>
    <w:p>
      <w:pPr>
        <w:spacing w:before="0" w:after="40" w:line="312" w:lineRule="auto"/>
        <w:ind w:firstLine="0"/>
        <w:jc w:val="left"/>
      </w:pPr>
      <w:r>
        <w:rPr>
          <w:rFonts w:ascii="Times New Roman" w:hAnsi="Times New Roman" w:eastAsia="宋体"/>
          <w:b w:val="0"/>
          <w:i w:val="0"/>
          <w:color w:val="595959"/>
          <w:sz w:val="18"/>
        </w:rPr>
        <w:t>【归属】第23章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【用途】项目班子每季度对照自查一次，公司年度党风廉政检查时复核。自查实事求是、有问题填具体表现，不得全部“否”了事；发现廉洁高风险事项必须立即报告并按规定回避。</w:t>
      </w:r>
    </w:p>
    <w:p>
      <w:pPr>
        <w:keepNext/>
        <w:spacing w:before="80" w:after="40" w:line="288" w:lineRule="auto"/>
        <w:ind w:firstLine="0"/>
        <w:jc w:val="center"/>
      </w:pPr>
      <w:r>
        <w:rPr>
          <w:rFonts w:ascii="Times New Roman" w:hAnsi="Times New Roman" w:eastAsia="黑体"/>
          <w:b/>
          <w:i w:val="0"/>
          <w:color w:val="000000"/>
          <w:sz w:val="21"/>
        </w:rPr>
        <w:t>表23-1　作风建设与廉洁从业自查表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自查维度</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自查事项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是否存在（是/否）</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具体表现</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责任人/期限</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（示例）形式主义</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会议多、资料多，现场问题却没人盯</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上月开了6次会，仅2项现场问题闭环</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合并同类会议，建立问题清单跟踪</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项目经理/季度内</w:t>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自查维度涵盖形式主义、官僚主义、深入一线、厉行节约、廉洁从业、亲清关系六类；涉及采购、分包、签证、结算、用人及亲友交易等廉洁高风险事项，一经发现须立即向公司纪检和分管领导报告并按规定回避；采购、分包、结算等重点岗位人员应定期轮岗。示例行用后删除。</w:t>
      </w:r>
    </w:p>
    <w:p>
      <w:pPr>
        <w:pStyle w:val="Heading3"/>
        <w:pageBreakBefore/>
        <w:spacing w:before="120"/>
      </w:pPr>
      <w:bookmarkStart w:id="161" w:name="_LarkToc00161"/>
      <w:r>
        <w:t>附件23-2　业务招待、差旅、用车与礼品礼金自查表</w:t>
      </w:r>
      <w:bookmarkEnd w:id="161"/>
    </w:p>
    <w:p>
      <w:pPr>
        <w:spacing w:before="0" w:after="40" w:line="312" w:lineRule="auto"/>
        <w:ind w:firstLine="0"/>
        <w:jc w:val="left"/>
      </w:pPr>
      <w:r>
        <w:rPr>
          <w:rFonts w:ascii="Times New Roman" w:hAnsi="Times New Roman" w:eastAsia="宋体"/>
          <w:b w:val="0"/>
          <w:i w:val="0"/>
          <w:color w:val="595959"/>
          <w:sz w:val="18"/>
        </w:rPr>
        <w:t>【归属】第23章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项目财务负责人会同项目经理按季度登记自查，超标准事项须说明并履行审批或退缴手续；无法拒收的礼品礼金当日上缴企业纪检部门。“示例”行仅为说明填写方法，使用时删除；各项具体标准以企业现行财务制度及项目所在地规定为准。</w:t>
      </w:r>
    </w:p>
    <w:p>
      <w:pPr>
        <w:keepNext/>
        <w:spacing w:before="80" w:after="40" w:line="288" w:lineRule="auto"/>
        <w:ind w:firstLine="0"/>
        <w:jc w:val="center"/>
      </w:pPr>
      <w:r>
        <w:rPr>
          <w:rFonts w:ascii="Times New Roman" w:hAnsi="Times New Roman" w:eastAsia="黑体"/>
          <w:b/>
          <w:i w:val="0"/>
          <w:color w:val="000000"/>
          <w:sz w:val="21"/>
        </w:rPr>
        <w:t>表23-2　业务招待、差旅、用车与礼品礼金自查表（金额单位：元）</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时间</w:t>
            </w:r>
          </w:p>
        </w:tc>
        <w:tc>
          <w:tcPr>
            <w:tcW w:type="dxa" w:w="141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事由</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标准/预算</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实际发生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是否超标</w:t>
            </w:r>
          </w:p>
        </w:tc>
        <w:tc>
          <w:tcPr>
            <w:tcW w:type="dxa" w:w="141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审批/退缴</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（示例）业务招待</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2026-06-12</w:t>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与业主、监理现场进度协调工作餐</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公司制度：工作餐人均80.00元，4人预算320.00元</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4人实付360.00元</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是（人均90.00元，超10.00元）</w:t>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已报项目经理审批，超支部分由经办人退缴</w:t>
            </w:r>
          </w:p>
        </w:tc>
      </w:tr>
      <w:tr>
        <w:trPr>
          <w:cantSplit/>
        </w:trPr>
        <w:tc>
          <w:tcPr>
            <w:tcW w:type="dxa" w:w="39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（示例）差旅</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2026-06-20</w:t>
            </w:r>
          </w:p>
        </w:tc>
        <w:tc>
          <w:tcPr>
            <w:tcW w:type="dxa" w:w="141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赴供应商处考察洽谈</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高铁二等座往返约180.00元，住宿300.00元/晚</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高铁174.00元，住宿280.00元</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否</w:t>
            </w:r>
          </w:p>
        </w:tc>
        <w:tc>
          <w:tcPr>
            <w:tcW w:type="dxa" w:w="141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按差旅报销流程审批</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（示例）公车使用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2026-06-25</w:t>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向建设单位报送资料</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市内用车，油费预算约45.00元</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油费42.50元</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否</w:t>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派车单登记，行政审核</w:t>
            </w:r>
          </w:p>
        </w:tc>
      </w:tr>
      <w:tr>
        <w:trPr>
          <w:cantSplit/>
        </w:trPr>
        <w:tc>
          <w:tcPr>
            <w:tcW w:type="dxa" w:w="39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（示例）礼品礼金</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2026-06-30</w:t>
            </w:r>
          </w:p>
        </w:tc>
        <w:tc>
          <w:tcPr>
            <w:tcW w:type="dxa" w:w="141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节日往来</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一律不准收受礼品礼金</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当面拒收礼品1份</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否</w:t>
            </w:r>
          </w:p>
        </w:tc>
        <w:tc>
          <w:tcPr>
            <w:tcW w:type="dxa" w:w="141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已登记；无法拒收的当日上缴纪检</w:t>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金额保留两位小数；业务招待、差旅、用车标准按企业现行财务制度执行，超标准事项必须审批并退缴；礼品礼金一律不准收受，当面拒收并登记，无法拒收的当日上缴企业纪检部门；具体标准以企业制度及项目所在地规定为准。示例行用后删除。</w:t>
      </w:r>
    </w:p>
    <w:p>
      <w:pPr>
        <w:pStyle w:val="Heading1"/>
      </w:pPr>
      <w:bookmarkStart w:id="29" w:name="_LarkToc00029"/>
      <w:r>
        <w:t>第六篇　专项实务篇——专业纵深，把每门功课做到极致</w:t>
      </w:r>
      <w:bookmarkEnd w:id="29"/>
    </w:p>
    <w:p>
      <w:pPr>
        <w:spacing w:before="0" w:after="0" w:line="360" w:lineRule="auto"/>
        <w:ind w:firstLine="480"/>
        <w:jc w:val="both"/>
      </w:pPr>
      <w:r>
        <w:rPr>
          <w:rFonts w:ascii="Times New Roman" w:hAnsi="Times New Roman" w:eastAsia="宋体"/>
          <w:b w:val="0"/>
          <w:i w:val="0"/>
          <w:color w:val="000000"/>
          <w:sz w:val="24"/>
        </w:rPr>
        <w:t>全流程讲“每一仗怎么打”，专项实务讲“每门功课怎么做到专业”。技术、质量、物资、机械、分包劳务、财务税务、法务诉讼、安全专项、绿色环保，是决定项目盈利与安全的九条专业纵深。本篇把这些专业模块逐一打通，配套更细的专项工具表，使各业务岗位都能按图索骥、各负其责。</w:t>
      </w:r>
    </w:p>
    <w:p>
      <w:pPr>
        <w:pStyle w:val="Heading2"/>
        <w:pageBreakBefore/>
      </w:pPr>
      <w:bookmarkStart w:id="30" w:name="_LarkToc00030"/>
      <w:r>
        <w:t>第24章　技术管理：方案先行、技术保进度保质量</w:t>
      </w:r>
      <w:bookmarkEnd w:id="30"/>
    </w:p>
    <w:p>
      <w:pPr>
        <w:pStyle w:val="sec_head"/>
      </w:pPr>
      <w:r>
        <w:t>24.1　技术管理是施工的“参谋部”</w:t>
      </w:r>
    </w:p>
    <w:p>
      <w:pPr>
        <w:spacing w:before="0" w:after="0" w:line="360" w:lineRule="auto"/>
        <w:ind w:firstLine="480"/>
        <w:jc w:val="both"/>
      </w:pPr>
      <w:r>
        <w:rPr>
          <w:rFonts w:ascii="Times New Roman" w:hAnsi="Times New Roman" w:eastAsia="宋体"/>
          <w:b w:val="0"/>
          <w:i w:val="0"/>
          <w:color w:val="000000"/>
          <w:sz w:val="24"/>
        </w:rPr>
        <w:t>毛泽东同志讲“指挥员的正确的部署来源于正确的决心，正确的决心来源于正确的判断，正确的判断来源于周到的和必要的侦察”。施工技术管理就是项目部的“参谋部”：图纸、方案、交底、测量、试验、变更、资料，都是为了让现场每一道工序“情况明、决心大、方法对”。技术管理不是“资料员写写资料”，而是用图纸说话、用方案指导、用数据验证，把质量隐患和返工损失消灭在开工之前。</w:t>
      </w:r>
    </w:p>
    <w:p>
      <w:pPr>
        <w:spacing w:before="0" w:after="0" w:line="360" w:lineRule="auto"/>
        <w:ind w:firstLine="480"/>
        <w:jc w:val="both"/>
      </w:pPr>
      <w:r>
        <w:rPr>
          <w:rFonts w:ascii="Times New Roman" w:hAnsi="Times New Roman" w:eastAsia="宋体"/>
          <w:b w:val="0"/>
          <w:i w:val="0"/>
          <w:color w:val="000000"/>
          <w:sz w:val="24"/>
        </w:rPr>
        <w:t>技术管理要抓住一条主线：图纸会审在先、方案编审在先、技术交底在先、测量复核在先、试验验证在先；技术资料与工程进度同步。凡“先干后补、边干边问、凭经验施工”的，几乎迟早要付出返工、索赔、验收不过的代价。</w:t>
      </w:r>
    </w:p>
    <w:p>
      <w:pPr>
        <w:pStyle w:val="sec_head"/>
      </w:pPr>
      <w:r>
        <w:t>24.2　图纸会审与设计交底：把图纸上的问题消灭在开工前</w:t>
      </w:r>
    </w:p>
    <w:p>
      <w:pPr>
        <w:spacing w:before="0" w:after="0" w:line="360" w:lineRule="auto"/>
        <w:ind w:firstLine="480"/>
        <w:jc w:val="both"/>
      </w:pPr>
      <w:r>
        <w:rPr>
          <w:rFonts w:ascii="Times New Roman" w:hAnsi="Times New Roman" w:eastAsia="宋体"/>
          <w:b w:val="0"/>
          <w:i w:val="0"/>
          <w:color w:val="000000"/>
          <w:sz w:val="24"/>
        </w:rPr>
        <w:t>图纸会审是开工前最划算的一道工序。由项目技术负责人组织，施工、技术、质量、安全、预算、各专业班组分头看图，重点核对：建筑、结构、机电各专业之间是否打架；图纸说明与大样、尺寸标注是否一致；地基与现场地勘是否吻合；预留预埋、洞口位置是否冲突；材料品种规格是否市场可及；有无错漏碰缺。会审发现的问题形成书面记录，由设计交底时统一答复，图纸问题未澄清不得大面积施工。</w:t>
      </w:r>
    </w:p>
    <w:p>
      <w:pPr>
        <w:pStyle w:val="sec_head"/>
      </w:pPr>
      <w:r>
        <w:t>24.3　施工组织设计与专项方案分级编审</w:t>
      </w:r>
    </w:p>
    <w:p>
      <w:pPr>
        <w:spacing w:before="0" w:after="0" w:line="360" w:lineRule="auto"/>
        <w:ind w:firstLine="480"/>
        <w:jc w:val="both"/>
      </w:pPr>
      <w:r>
        <w:rPr>
          <w:rFonts w:ascii="Times New Roman" w:hAnsi="Times New Roman" w:eastAsia="宋体"/>
          <w:b w:val="0"/>
          <w:i w:val="0"/>
          <w:color w:val="000000"/>
          <w:sz w:val="24"/>
        </w:rPr>
        <w:t>施工组织设计是指导全场施工的总纲，专项方案是针对分部分项工程的作战令。实行分级编审：施工组织设计由项目技术负责人编制、企业技术负责人审批；一般专项方案由项目技术负责人审批；危险性较大的分部分项工程（深基坑、高大模板、起重吊装及安拆、脚手架、拆除爆破等）专项方案，须经施工单位技术负责人、总监理工程师签字盖章；超过一定规模的危大工程，必须组织不少于5名专家论证，论证通过并按意见修改后方可实施。方案谁编制、谁审核、谁审批、谁交底、谁监督，全程留痕。</w:t>
      </w:r>
    </w:p>
    <w:p>
      <w:pPr>
        <w:spacing w:before="20" w:after="80" w:line="288" w:lineRule="auto"/>
        <w:ind w:firstLine="0"/>
        <w:jc w:val="left"/>
      </w:pPr>
      <w:r>
        <w:rPr>
          <w:rFonts w:ascii="Times New Roman" w:hAnsi="Times New Roman" w:eastAsia="宋体"/>
          <w:b w:val="0"/>
          <w:i w:val="0"/>
          <w:color w:val="404040"/>
          <w:sz w:val="18"/>
        </w:rPr>
        <w:t>依据：《危险性较大的分部分项工程安全管理规定》（住建部令第37号，第47号令修订）第10—12条；《建设工程安全生产管理条例》（国务院令第393号）第26条；《建筑施工组织设计规范》GB/T 50502、《建设工程项目管理规范》GB/T 50326（以现行有效版本为准）。</w:t>
      </w:r>
    </w:p>
    <w:p>
      <w:pPr>
        <w:pStyle w:val="sec_head"/>
      </w:pPr>
      <w:r>
        <w:t>24.4　三级技术交底：把方案交到作业层</w:t>
      </w:r>
    </w:p>
    <w:p>
      <w:pPr>
        <w:spacing w:before="0" w:after="0" w:line="360" w:lineRule="auto"/>
        <w:ind w:firstLine="480"/>
        <w:jc w:val="both"/>
      </w:pPr>
      <w:r>
        <w:rPr>
          <w:rFonts w:ascii="Times New Roman" w:hAnsi="Times New Roman" w:eastAsia="宋体"/>
          <w:b w:val="0"/>
          <w:i w:val="0"/>
          <w:color w:val="000000"/>
          <w:sz w:val="24"/>
        </w:rPr>
        <w:t>方案写得再厚，交底不到班组和工人，等于没有方案。三级技术交底逐级进行：项目技术负责人向施工管理人员交底（一级）；施工员向班组交底（二级）；班组长向作业人员交底（三级）。交底内容包括作业范围、施工方法、质量标准、安全措施、成品保护、应急要求，必须书面、有针对性，严禁“全员签字、一个模板”。被交底人逐个签字，交底人与被交底人均留存记录。</w:t>
      </w:r>
    </w:p>
    <w:p>
      <w:pPr>
        <w:pStyle w:val="sec_head"/>
      </w:pPr>
      <w:r>
        <w:t>24.5　设计变更、技术核定与商务变更的区分</w:t>
      </w:r>
    </w:p>
    <w:p>
      <w:pPr>
        <w:spacing w:before="0" w:after="0" w:line="360" w:lineRule="auto"/>
        <w:ind w:firstLine="480"/>
        <w:jc w:val="both"/>
      </w:pPr>
      <w:r>
        <w:rPr>
          <w:rFonts w:ascii="Times New Roman" w:hAnsi="Times New Roman" w:eastAsia="宋体"/>
          <w:b w:val="0"/>
          <w:i w:val="0"/>
          <w:color w:val="000000"/>
          <w:sz w:val="24"/>
        </w:rPr>
        <w:t>现场经常出现“改个做法”的口头指令，技术、商务、安全三条线必须分清口径：设计变更由设计单位出具文件，是图纸内容的法定修改；技术核定单是对图纸不清、做法不明确之处的书面确认，不改图纸实质；现场签证、商务变更是费用与工期的主张渠道。技术口负责把“怎么干”定清楚，商务口负责把“多少钱、多少天”算清楚、按程序确认，两条线同步发函、互相印证，严禁技术口头同意、商务无据可依。</w:t>
      </w:r>
    </w:p>
    <w:p>
      <w:pPr>
        <w:pStyle w:val="sec_head"/>
      </w:pPr>
      <w:r>
        <w:t>24.6　测量复核与计量器具管理</w:t>
      </w:r>
    </w:p>
    <w:p>
      <w:pPr>
        <w:spacing w:before="0" w:after="0" w:line="360" w:lineRule="auto"/>
        <w:ind w:firstLine="480"/>
        <w:jc w:val="both"/>
      </w:pPr>
      <w:r>
        <w:rPr>
          <w:rFonts w:ascii="Times New Roman" w:hAnsi="Times New Roman" w:eastAsia="宋体"/>
          <w:b w:val="0"/>
          <w:i w:val="0"/>
          <w:color w:val="000000"/>
          <w:sz w:val="24"/>
        </w:rPr>
        <w:t>测量是工程的“眼睛”。场地交接的红线桩、水准点，项目必须独立复核并保护；轴线、标高、垂直度、沉降观测，实行“施测—复核—监理验线”制度，重要部位双人复核。全站仪、水准仪、经纬仪、钢卷尺、力矩扳手、混凝土回弹仪等计量器具，必须台账管理、定期检定校准，超期未检、无检定标识的不得使用。</w:t>
      </w:r>
    </w:p>
    <w:p>
      <w:pPr>
        <w:pStyle w:val="sec_head"/>
      </w:pPr>
      <w:r>
        <w:t>24.7　试验检验与见证取样</w:t>
      </w:r>
    </w:p>
    <w:p>
      <w:pPr>
        <w:spacing w:before="0" w:after="0" w:line="360" w:lineRule="auto"/>
        <w:ind w:firstLine="480"/>
        <w:jc w:val="both"/>
      </w:pPr>
      <w:r>
        <w:rPr>
          <w:rFonts w:ascii="Times New Roman" w:hAnsi="Times New Roman" w:eastAsia="宋体"/>
          <w:b w:val="0"/>
          <w:i w:val="0"/>
          <w:color w:val="000000"/>
          <w:sz w:val="24"/>
        </w:rPr>
        <w:t>材料合格不合格，不能只看质保书，要用数据说话。钢筋、水泥、砂石、混凝土、砂浆、防水材料、砌块、焊接接头等，按试验计划分批进场、按规定批量取样送检；见证取样的试件必须在监理见证下封样、标识、送检，试验报告回来后与使用部位对应登记。不合格材料立即清退，已使用的按不合格品处置程序追溯。</w:t>
      </w:r>
    </w:p>
    <w:p>
      <w:pPr>
        <w:pStyle w:val="sec_head"/>
      </w:pPr>
      <w:r>
        <w:t>24.8　四新技术的应用与评估</w:t>
      </w:r>
    </w:p>
    <w:p>
      <w:pPr>
        <w:spacing w:before="0" w:after="0" w:line="360" w:lineRule="auto"/>
        <w:ind w:firstLine="480"/>
        <w:jc w:val="both"/>
      </w:pPr>
      <w:r>
        <w:rPr>
          <w:rFonts w:ascii="Times New Roman" w:hAnsi="Times New Roman" w:eastAsia="宋体"/>
          <w:b w:val="0"/>
          <w:i w:val="0"/>
          <w:color w:val="000000"/>
          <w:sz w:val="24"/>
        </w:rPr>
        <w:t>新技术、新工艺、新材料、新设备（四新）应用前，必须先评估：技术成熟度、有无相应标准规范、对质量安全的影响、工人是否掌握、是否需要专家论证或样板先行。鼓励通过四新技术降本增效，但未经评估、未经审批的“新做法”不得直接上主体；应用后要总结工法、形成企业自有技术积累。</w:t>
      </w:r>
    </w:p>
    <w:p>
      <w:pPr>
        <w:pStyle w:val="sec_head"/>
      </w:pPr>
      <w:r>
        <w:t>24.9　技术疑难处理与技术资料同步（红线）</w:t>
      </w:r>
    </w:p>
    <w:p>
      <w:pPr>
        <w:spacing w:before="0" w:after="0" w:line="360" w:lineRule="auto"/>
        <w:ind w:firstLine="480"/>
        <w:jc w:val="both"/>
      </w:pPr>
      <w:r>
        <w:rPr>
          <w:rFonts w:ascii="Times New Roman" w:hAnsi="Times New Roman" w:eastAsia="宋体"/>
          <w:b w:val="0"/>
          <w:i w:val="0"/>
          <w:color w:val="000000"/>
          <w:sz w:val="24"/>
        </w:rPr>
        <w:t>现场遇到技术疑难，不能“拍脑袋定”，要按“联系单—设计确认—方案调整—交底实施”的程序处理，重大问题组织专题研究。技术资料必须与工程进度同步：隐蔽验收记录、试验报告、变更核定、测量复核，做到“工程干到哪、资料签到哪”，严禁竣工前集中补资料、编造日期。技术口常见红线：无方案施工、方案未审批先施工、危大工程未论证、交底代签、资料补造、测量不复核、计量器具失准。</w:t>
      </w:r>
    </w:p>
    <w:p>
      <w:pPr>
        <w:pStyle w:val="attach_div"/>
        <w:pageBreakBefore/>
        <w:jc w:val="center"/>
      </w:pPr>
      <w:r>
        <w:t>第24章　章末附件</w:t>
      </w:r>
    </w:p>
    <w:p>
      <w:pPr>
        <w:spacing w:before="0" w:after="0" w:line="360" w:lineRule="auto"/>
        <w:ind w:firstLine="480"/>
        <w:jc w:val="both"/>
      </w:pPr>
      <w:r>
        <w:rPr>
          <w:rFonts w:ascii="Times New Roman" w:hAnsi="Times New Roman" w:eastAsia="宋体"/>
          <w:b w:val="0"/>
          <w:i w:val="0"/>
          <w:color w:val="000000"/>
          <w:sz w:val="24"/>
        </w:rPr>
        <w:t>本页之后为《技术管理：方案先行、技术保进度保质量》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62" w:name="_LarkToc00162"/>
      <w:r>
        <w:t>附件24-1　图纸会审与设计交底记录表</w:t>
      </w:r>
      <w:bookmarkEnd w:id="162"/>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【用途】开工前由项目技术负责人组织各专业分头看图，逐条登记疑点与矛盾，设计交底时统一答复；未澄清的问题闭环前不得大面积施工。</w:t>
      </w:r>
    </w:p>
    <w:p>
      <w:pPr>
        <w:keepNext/>
        <w:spacing w:before="80" w:after="40" w:line="288" w:lineRule="auto"/>
        <w:ind w:firstLine="0"/>
        <w:jc w:val="center"/>
      </w:pPr>
      <w:r>
        <w:rPr>
          <w:rFonts w:ascii="Times New Roman" w:hAnsi="Times New Roman" w:eastAsia="黑体"/>
          <w:b/>
          <w:i w:val="0"/>
          <w:color w:val="000000"/>
          <w:sz w:val="21"/>
        </w:rPr>
        <w:t>表24-1　图纸会审与设计交底记录表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图纸号/部位</w:t>
            </w:r>
          </w:p>
        </w:tc>
        <w:tc>
          <w:tcPr>
            <w:tcW w:type="dxa" w:w="294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问题描述（建筑/结构/机电矛盾、错漏碰缺）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提出专业</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设计答复</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落实情况</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（示例）结施-12/三层梁</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梁顶标高与建筑门洞标高相差30mm</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土建</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按建筑标高降低梁顶</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已修改</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注：设计交底与图纸会审记录须有建设、设计、监理、施工各方签字；问题答复涉及图纸修改的，以设计单位正式变更文件为准。示例行用后删除。</w:t>
      </w:r>
    </w:p>
    <w:p>
      <w:pPr>
        <w:pStyle w:val="Heading3"/>
        <w:pageBreakBefore/>
        <w:spacing w:before="120"/>
      </w:pPr>
      <w:bookmarkStart w:id="163" w:name="_LarkToc00163"/>
      <w:r>
        <w:t>附件24-2　技术方案管理总台账（施组/专项/危大/专家论证状态）</w:t>
      </w:r>
      <w:bookmarkEnd w:id="163"/>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【用途】项目全部施工组织设计、专项方案、危大工程方案统一登记，跟踪编制、审核、审批、论证、交底、实施、验收状态；关键节点未闭环不得进入下道工序。</w:t>
      </w:r>
    </w:p>
    <w:p>
      <w:pPr>
        <w:keepNext/>
        <w:spacing w:before="80" w:after="40" w:line="288" w:lineRule="auto"/>
        <w:ind w:firstLine="0"/>
        <w:jc w:val="center"/>
      </w:pPr>
      <w:r>
        <w:rPr>
          <w:rFonts w:ascii="Times New Roman" w:hAnsi="Times New Roman" w:eastAsia="黑体"/>
          <w:b/>
          <w:i w:val="0"/>
          <w:color w:val="000000"/>
          <w:sz w:val="21"/>
        </w:rPr>
        <w:t>表24-2　技术方案管理总台账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方案名称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编制人/日期</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企业技术负责人审批</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总监审查</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专家论证</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实施状态</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（示例）深基坑支护专项方案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危大（超规模）</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张工/2026-03-05</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已签</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已签</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已通过（5名）</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2026-03-12</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实施中</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依据：住建部令第37号（第47号令修订）；超过一定规模的危大工程专家不少于5名；“类别”填施工组织设计/一般专项/危大/超规模危大。示例行用后删除。</w:t>
      </w:r>
    </w:p>
    <w:p>
      <w:pPr>
        <w:pStyle w:val="Heading3"/>
        <w:pageBreakBefore/>
        <w:spacing w:before="120"/>
      </w:pPr>
      <w:bookmarkStart w:id="164" w:name="_LarkToc00164"/>
      <w:r>
        <w:t>附件24-3　三级技术交底记录表（项目→班组→作业人员）</w:t>
      </w:r>
      <w:bookmarkEnd w:id="164"/>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【用途】分三级逐级交底，被交底人逐个签字；交底内容须针对具体工序，不得用通用模板代签。</w:t>
      </w:r>
    </w:p>
    <w:p>
      <w:pPr>
        <w:keepNext/>
        <w:spacing w:before="80" w:after="40" w:line="288" w:lineRule="auto"/>
        <w:ind w:firstLine="0"/>
        <w:jc w:val="center"/>
      </w:pPr>
      <w:r>
        <w:rPr>
          <w:rFonts w:ascii="Times New Roman" w:hAnsi="Times New Roman" w:eastAsia="黑体"/>
          <w:b/>
          <w:i w:val="0"/>
          <w:color w:val="000000"/>
          <w:sz w:val="21"/>
        </w:rPr>
        <w:t>表24-3　三级技术交底记录表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交底级别</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交底部位/工序</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交底主要内容（方法、质量、安全、成品保护）</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交底人</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被交底班组/人员</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签字</w:t>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技术负责人</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管理人员</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二级</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施工员</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班组长</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三级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（示例）三层梁板钢筋绑扎</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保护层厚度、搭接位置、锚固长度，文明施工</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施工员</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钢筋班</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2026-04-02</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165" w:name="_LarkToc00165"/>
      <w:r>
        <w:t>附件24-4　技术核定单/设计变更技术联系单（技术口径）</w:t>
      </w:r>
      <w:bookmarkEnd w:id="165"/>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【用途】对图纸不清、做法不明确或现场客观条件变化，先以技术联系单书面提请设计确认，再据此施工；涉及费用工期的同步抄送商务口按变更/签证程序处理。</w:t>
      </w:r>
    </w:p>
    <w:p>
      <w:pPr>
        <w:keepNext/>
        <w:spacing w:before="80" w:after="40" w:line="288" w:lineRule="auto"/>
        <w:ind w:firstLine="0"/>
        <w:jc w:val="center"/>
      </w:pPr>
      <w:r>
        <w:rPr>
          <w:rFonts w:ascii="Times New Roman" w:hAnsi="Times New Roman" w:eastAsia="黑体"/>
          <w:b/>
          <w:i w:val="0"/>
          <w:color w:val="000000"/>
          <w:sz w:val="21"/>
        </w:rPr>
        <w:t>表24-4　技术核定单/设计变更技术联系单</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00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核定/联系单编号</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工程名称/部位</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事由（图纸问题/做法不明/现场条件变化）</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技术意见（建议做法）</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设计单位答复</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□同意 □修改为：　　　　　　（须加盖设计文件章）</w:t>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是否涉及费用/工期</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□否 □是（已转商务口按变更签证程序办理）</w:t>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提出单位/技术负责人/日期</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监理/建设单位签认</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注：技术核定单只解决“怎么干”，费用与工期主张须另行办理工程变更/现场签证（见第8章附件8-6、8-7），严禁以技术核定单代替商务签证。</w:t>
      </w:r>
    </w:p>
    <w:p>
      <w:pPr>
        <w:pStyle w:val="Heading3"/>
        <w:pageBreakBefore/>
        <w:spacing w:before="120"/>
      </w:pPr>
      <w:bookmarkStart w:id="166" w:name="_LarkToc00166"/>
      <w:r>
        <w:t>附件24-5　测量放线复核记录与计量器具台账</w:t>
      </w:r>
      <w:bookmarkEnd w:id="166"/>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【用途】测量实行施测、复核、监理验线三步；计量器具建账、定期检定，超期未检立即停用。</w:t>
      </w:r>
    </w:p>
    <w:p>
      <w:pPr>
        <w:keepNext/>
        <w:spacing w:before="80" w:after="40" w:line="288" w:lineRule="auto"/>
        <w:ind w:firstLine="0"/>
        <w:jc w:val="center"/>
      </w:pPr>
      <w:r>
        <w:rPr>
          <w:rFonts w:ascii="Times New Roman" w:hAnsi="Times New Roman" w:eastAsia="黑体"/>
          <w:b/>
          <w:i w:val="0"/>
          <w:color w:val="000000"/>
          <w:sz w:val="21"/>
        </w:rPr>
        <w:t>表24-5-1　测量放线复核记录</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测量部位/内容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允许偏差</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施测值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复核值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复核结论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施测/复核人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监理验线</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（示例）五层墙柱轴线</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≤5mm</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偏差3mm</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偏差3mm</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李/王</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已验</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表24-5-2　计量器具台账</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器具名称/编号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用途</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检定/校准日期</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有效期至</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状态</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保管人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（示例）全站仪/TD-01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轴线标高测量</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2026-01-10</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2027-01-09</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□合格□停用</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注：允许偏差以现行测量规范及设计文件为准；沉降观测点须妥善保护并按周期观测、记录。示例行用后删除。</w:t>
      </w:r>
    </w:p>
    <w:p>
      <w:pPr>
        <w:pStyle w:val="Heading3"/>
        <w:pageBreakBefore/>
        <w:spacing w:before="120"/>
      </w:pPr>
      <w:bookmarkStart w:id="167" w:name="_LarkToc00167"/>
      <w:r>
        <w:t>附件24-6　施工试验与检验计划、见证取样送检台账</w:t>
      </w:r>
      <w:bookmarkEnd w:id="167"/>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【用途】按单位工程编制试验计划，明确取样批量、部位、频次；见证取样在监理见证下封样送检，报告回来后与使用部位对应登记。</w:t>
      </w:r>
    </w:p>
    <w:p>
      <w:pPr>
        <w:keepNext/>
        <w:spacing w:before="80" w:after="40" w:line="288" w:lineRule="auto"/>
        <w:ind w:firstLine="0"/>
        <w:jc w:val="center"/>
      </w:pPr>
      <w:r>
        <w:rPr>
          <w:rFonts w:ascii="Times New Roman" w:hAnsi="Times New Roman" w:eastAsia="黑体"/>
          <w:b/>
          <w:i w:val="0"/>
          <w:color w:val="000000"/>
          <w:sz w:val="21"/>
        </w:rPr>
        <w:t>表24-6　施工试验与见证取样送检台账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材料/试验项目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代表批量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使用部位</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取样日期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见证人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报告编号</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试验结果</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处置</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（示例）HRB400钢筋原材</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60t/批</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三层梁板</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2026-04-01</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监理王工</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SY-2604-01</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合格</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同意使用</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依据：各专业工程施工质量验收规范（GB 50204混凝土、GB 50203砌体、GB 50205钢结构等，以现行有效版本为准）及见证取样送检规定；不合格试件对应批次材料立即停用、标识隔离并追溯。示例行用后删除。</w:t>
      </w:r>
    </w:p>
    <w:p>
      <w:pPr>
        <w:pStyle w:val="Heading3"/>
        <w:pageBreakBefore/>
        <w:spacing w:before="120"/>
      </w:pPr>
      <w:bookmarkStart w:id="168" w:name="_LarkToc00168"/>
      <w:r>
        <w:t>附件24-7　四新技术（新技术/新工艺/新材料/新设备）应用申报与评估表</w:t>
      </w:r>
      <w:bookmarkEnd w:id="168"/>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【用途】新技术、新工艺、新材料、新设备应用前先评估后审批；成熟度不足或无标准依据的，先做样板或专题论证。</w:t>
      </w:r>
    </w:p>
    <w:p>
      <w:pPr>
        <w:keepNext/>
        <w:spacing w:before="80" w:after="40" w:line="288" w:lineRule="auto"/>
        <w:ind w:firstLine="0"/>
        <w:jc w:val="center"/>
      </w:pPr>
      <w:r>
        <w:rPr>
          <w:rFonts w:ascii="Times New Roman" w:hAnsi="Times New Roman" w:eastAsia="黑体"/>
          <w:b/>
          <w:i w:val="0"/>
          <w:color w:val="000000"/>
          <w:sz w:val="21"/>
        </w:rPr>
        <w:t>表24-7　四新技术应用申报与评估表</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00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四新名称及类别</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□新技术 □新工艺 □新材料 □新设备</w:t>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应用部位与范围</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预期效果（质量/进度/成本）</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技术成熟度评估</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□成熟有标准 □有标准待验证 □无标准需论证</w:t>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主要风险与对策</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是否需专家论证/样板先行</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□否 □是（安排：　　　）</w:t>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项目技术负责人意见</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企业技术负责人审批</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69" w:name="_LarkToc00169"/>
      <w:r>
        <w:t>附件24-8　技术疑难问题处理联系单台账</w:t>
      </w:r>
      <w:bookmarkEnd w:id="169"/>
    </w:p>
    <w:p>
      <w:pPr>
        <w:spacing w:before="0" w:after="40" w:line="312" w:lineRule="auto"/>
        <w:ind w:firstLine="0"/>
        <w:jc w:val="left"/>
      </w:pPr>
      <w:r>
        <w:rPr>
          <w:rFonts w:ascii="Times New Roman" w:hAnsi="Times New Roman" w:eastAsia="宋体"/>
          <w:b w:val="0"/>
          <w:i w:val="0"/>
          <w:color w:val="595959"/>
          <w:sz w:val="18"/>
        </w:rPr>
        <w:t>【归属】第24章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【用途】现场技术疑难统一登记，按“联系单—设计/专题确认—方案调整—交底实施—闭环”处理，严禁拍脑袋施工。</w:t>
      </w:r>
    </w:p>
    <w:p>
      <w:pPr>
        <w:keepNext/>
        <w:spacing w:before="80" w:after="40" w:line="288" w:lineRule="auto"/>
        <w:ind w:firstLine="0"/>
        <w:jc w:val="center"/>
      </w:pPr>
      <w:r>
        <w:rPr>
          <w:rFonts w:ascii="Times New Roman" w:hAnsi="Times New Roman" w:eastAsia="黑体"/>
          <w:b/>
          <w:i w:val="0"/>
          <w:color w:val="000000"/>
          <w:sz w:val="21"/>
        </w:rPr>
        <w:t>表24-8　技术疑难问题处理联系单台账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提出日期</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问题部位与描述</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处理方式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确认单位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确认日期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落实情况</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□联系单 □专题会 □设计答复</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□闭环□跟踪</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2"/>
        <w:pageBreakBefore/>
      </w:pPr>
      <w:bookmarkStart w:id="31" w:name="_LarkToc00031"/>
      <w:r>
        <w:t>第25章　质量管理：百年大计、过程精品与工程创优</w:t>
      </w:r>
      <w:bookmarkEnd w:id="31"/>
    </w:p>
    <w:p>
      <w:pPr>
        <w:pStyle w:val="sec_head"/>
      </w:pPr>
      <w:r>
        <w:t>25.1　质量是干出来的，也是管出来的</w:t>
      </w:r>
    </w:p>
    <w:p>
      <w:pPr>
        <w:spacing w:before="0" w:after="0" w:line="360" w:lineRule="auto"/>
        <w:ind w:firstLine="480"/>
        <w:jc w:val="both"/>
      </w:pPr>
      <w:r>
        <w:rPr>
          <w:rFonts w:ascii="Times New Roman" w:hAnsi="Times New Roman" w:eastAsia="宋体"/>
          <w:b w:val="0"/>
          <w:i w:val="0"/>
          <w:color w:val="000000"/>
          <w:sz w:val="24"/>
        </w:rPr>
        <w:t>毛泽东同志讲“世界上怕就怕‘认真’二字，共产党就最讲认真”。工程质量同样如此：没有侥幸的优良品，只有认真的过程控制。质量首先是干出来的——班组按工艺做、工人按标准做；质量又是管出来的——有责任体系、有检验验收、有整改闭环。“以进度压质量、以验收代管理”，最后往往要为省掉的每一道工序付出返工、维修、保修和信誉的代价。</w:t>
      </w:r>
    </w:p>
    <w:p>
      <w:pPr>
        <w:spacing w:before="0" w:after="0" w:line="360" w:lineRule="auto"/>
        <w:ind w:firstLine="480"/>
        <w:jc w:val="both"/>
      </w:pPr>
      <w:r>
        <w:rPr>
          <w:rFonts w:ascii="Times New Roman" w:hAnsi="Times New Roman" w:eastAsia="宋体"/>
          <w:b w:val="0"/>
          <w:i w:val="0"/>
          <w:color w:val="000000"/>
          <w:sz w:val="24"/>
        </w:rPr>
        <w:t>质量管理的主线是“计划—实施—检查—处置”（PDCA）循环：开工前定质量目标和方案，施工中按样板和标准干，按检验批验收，发现问题立即整改并防止再发生。上道工序不合格，不得进入下道工序；隐蔽工程未验收，不得覆盖。</w:t>
      </w:r>
    </w:p>
    <w:p>
      <w:pPr>
        <w:pStyle w:val="sec_head"/>
      </w:pPr>
      <w:r>
        <w:t>25.2　质量责任体系：谁施工、谁负责，谁验收、谁签字</w:t>
      </w:r>
    </w:p>
    <w:p>
      <w:pPr>
        <w:spacing w:before="0" w:after="0" w:line="360" w:lineRule="auto"/>
        <w:ind w:firstLine="480"/>
        <w:jc w:val="both"/>
      </w:pPr>
      <w:r>
        <w:rPr>
          <w:rFonts w:ascii="Times New Roman" w:hAnsi="Times New Roman" w:eastAsia="宋体"/>
          <w:b w:val="0"/>
          <w:i w:val="0"/>
          <w:color w:val="000000"/>
          <w:sz w:val="24"/>
        </w:rPr>
        <w:t>项目应建立以项目经理为第一责任人的质量责任体系，技术、质量、施工、材料、试验各岗位责任到人，并与分包、班组签订质量责任书。严格执行“三检制”：班组自检、工序互检、专职质检员专检，再报监理验收。签字即责任——谁签字谁对该部位质量负责，严禁代签、补签、不看实物就签。</w:t>
      </w:r>
    </w:p>
    <w:p>
      <w:pPr>
        <w:pStyle w:val="sec_head"/>
      </w:pPr>
      <w:r>
        <w:t>25.3　质量计划与验收划分：检验批—分项—分部—单位工程</w:t>
      </w:r>
    </w:p>
    <w:p>
      <w:pPr>
        <w:spacing w:before="0" w:after="0" w:line="360" w:lineRule="auto"/>
        <w:ind w:firstLine="480"/>
        <w:jc w:val="both"/>
      </w:pPr>
      <w:r>
        <w:rPr>
          <w:rFonts w:ascii="Times New Roman" w:hAnsi="Times New Roman" w:eastAsia="宋体"/>
          <w:b w:val="0"/>
          <w:i w:val="0"/>
          <w:color w:val="000000"/>
          <w:sz w:val="24"/>
        </w:rPr>
        <w:t>按《建筑工程施工质量验收统一标准》GB 50300，工程质量验收划分为单位工程、分部工程、分项工程和检验批。开工前应编制质量计划，明确验收划分、检验批容量、验收部位和资料要求，经监理批准后作为验收依据。检验批是最小验收单元，必须主控项目全部合格、一般项目满足要求、资料完整，方能验收通过。</w:t>
      </w:r>
    </w:p>
    <w:p>
      <w:pPr>
        <w:pStyle w:val="sec_head"/>
      </w:pPr>
      <w:r>
        <w:t>25.4　样板引路：先做样板、再大面积推开</w:t>
      </w:r>
    </w:p>
    <w:p>
      <w:pPr>
        <w:spacing w:before="0" w:after="0" w:line="360" w:lineRule="auto"/>
        <w:ind w:firstLine="480"/>
        <w:jc w:val="both"/>
      </w:pPr>
      <w:r>
        <w:rPr>
          <w:rFonts w:ascii="Times New Roman" w:hAnsi="Times New Roman" w:eastAsia="宋体"/>
          <w:b w:val="0"/>
          <w:i w:val="0"/>
          <w:color w:val="000000"/>
          <w:sz w:val="24"/>
        </w:rPr>
        <w:t>关键工序、质量通病易发部位、装饰装修交付观感部位，必须先做工序样板和首件样板。样板经建设、监理、施工三方验收合格并对班组交底后，方可大面积施工；大面积施工以样板为最低标准，达不到样板水准的责令返工。样板不是“展厅样板”，而是可复制的工艺标准。</w:t>
      </w:r>
    </w:p>
    <w:p>
      <w:pPr>
        <w:pStyle w:val="sec_head"/>
      </w:pPr>
      <w:r>
        <w:t>25.5　实测实量：用数据说话</w:t>
      </w:r>
    </w:p>
    <w:p>
      <w:pPr>
        <w:spacing w:before="0" w:after="0" w:line="360" w:lineRule="auto"/>
        <w:ind w:firstLine="480"/>
        <w:jc w:val="both"/>
      </w:pPr>
      <w:r>
        <w:rPr>
          <w:rFonts w:ascii="Times New Roman" w:hAnsi="Times New Roman" w:eastAsia="宋体"/>
          <w:b w:val="0"/>
          <w:i w:val="0"/>
          <w:color w:val="000000"/>
          <w:sz w:val="24"/>
        </w:rPr>
        <w:t>对混凝土结构、砌体、抹灰、地面、门窗等实行实测实量，按部位抽检截面尺寸、垂直度、平整度、开间进深、阴阳角等指标，记录实测数据并统计合格率。实测数据与班组结算、质量考核挂钩，防止“看起来差不多”。常见允许偏差以现行各专业验收规范为准，本指导书附件25-4给出常用参考值。</w:t>
      </w:r>
    </w:p>
    <w:p>
      <w:pPr>
        <w:pStyle w:val="sec_head"/>
      </w:pPr>
      <w:r>
        <w:t>25.6　原材料进场与见证取样：不合格材料不进现场</w:t>
      </w:r>
    </w:p>
    <w:p>
      <w:pPr>
        <w:spacing w:before="0" w:after="0" w:line="360" w:lineRule="auto"/>
        <w:ind w:firstLine="480"/>
        <w:jc w:val="both"/>
      </w:pPr>
      <w:r>
        <w:rPr>
          <w:rFonts w:ascii="Times New Roman" w:hAnsi="Times New Roman" w:eastAsia="宋体"/>
          <w:b w:val="0"/>
          <w:i w:val="0"/>
          <w:color w:val="000000"/>
          <w:sz w:val="24"/>
        </w:rPr>
        <w:t>材料、构配件、设备进场必须查验质量证明文件，核对品种、规格、型号、数量，按规定见证取样送检；未经检验或检验不合格的，不得使用。甲供材同样执行进场验收，不合格的书面报建设单位处理。材料台账做到“进场—取样—报告—使用部位”四对应。</w:t>
      </w:r>
    </w:p>
    <w:p>
      <w:pPr>
        <w:pStyle w:val="sec_head"/>
      </w:pPr>
      <w:r>
        <w:t>25.7　质量通病分专业防治</w:t>
      </w:r>
    </w:p>
    <w:p>
      <w:pPr>
        <w:spacing w:before="0" w:after="0" w:line="360" w:lineRule="auto"/>
        <w:ind w:firstLine="480"/>
        <w:jc w:val="both"/>
      </w:pPr>
      <w:r>
        <w:rPr>
          <w:rFonts w:ascii="Times New Roman" w:hAnsi="Times New Roman" w:eastAsia="宋体"/>
          <w:b w:val="0"/>
          <w:i w:val="0"/>
          <w:color w:val="000000"/>
          <w:sz w:val="24"/>
        </w:rPr>
        <w:t>渗漏、开裂、空鼓、蜂窝麻面、尺寸偏差是建筑工程的“老毛病”，要分专业提前制定防治措施：钢筋工程控保护层、间距、锚固；混凝土工程控配合比、振捣、养护、施工缝；砌体工程控拉结筋、灰缝、顶砌时间；抹灰工程控基层、分层、防裂网；防水工程控节点、附加层、蓄水试验；安装工程控预留预埋、试压冲洗。防治措施落实到班组技术交底。</w:t>
      </w:r>
    </w:p>
    <w:p>
      <w:pPr>
        <w:pStyle w:val="sec_head"/>
      </w:pPr>
      <w:r>
        <w:t>25.8　质量问题与质量事故处理</w:t>
      </w:r>
    </w:p>
    <w:p>
      <w:pPr>
        <w:spacing w:before="0" w:after="0" w:line="360" w:lineRule="auto"/>
        <w:ind w:firstLine="480"/>
        <w:jc w:val="both"/>
      </w:pPr>
      <w:r>
        <w:rPr>
          <w:rFonts w:ascii="Times New Roman" w:hAnsi="Times New Roman" w:eastAsia="宋体"/>
          <w:b w:val="0"/>
          <w:i w:val="0"/>
          <w:color w:val="000000"/>
          <w:sz w:val="24"/>
        </w:rPr>
        <w:t>发现质量问题立即标识、暂停相关部位、分析原因、制定处理方案，返修或加固处理后重新验收；涉及结构安全的，必须由设计单位提出处理方案。发生工程质量事故的，按规定及时报告、保护现场、配合调查处理，严禁隐瞒不报、擅自处理或破坏现场。质量问题整改实行闭环：通知单—整改—复查—销号。</w:t>
      </w:r>
    </w:p>
    <w:p>
      <w:pPr>
        <w:pStyle w:val="sec_head"/>
      </w:pPr>
      <w:r>
        <w:t>25.9　质量例会与质量考核</w:t>
      </w:r>
    </w:p>
    <w:p>
      <w:pPr>
        <w:spacing w:before="0" w:after="0" w:line="360" w:lineRule="auto"/>
        <w:ind w:firstLine="480"/>
        <w:jc w:val="both"/>
      </w:pPr>
      <w:r>
        <w:rPr>
          <w:rFonts w:ascii="Times New Roman" w:hAnsi="Times New Roman" w:eastAsia="宋体"/>
          <w:b w:val="0"/>
          <w:i w:val="0"/>
          <w:color w:val="000000"/>
          <w:sz w:val="24"/>
        </w:rPr>
        <w:t>项目每周（或每旬）召开质量例会，通报检验批验收、实测实量、通病防治、整改闭环情况，奖优罚劣。质量考核结果与分包结算、班组计件、管理人员绩效挂钩；对重复发生同类问题的班组，约谈、罚款直至清退。</w:t>
      </w:r>
    </w:p>
    <w:p>
      <w:pPr>
        <w:pStyle w:val="sec_head"/>
      </w:pPr>
      <w:r>
        <w:t>25.10　创优策划：目标在前、资料同步</w:t>
      </w:r>
    </w:p>
    <w:p>
      <w:pPr>
        <w:spacing w:before="0" w:after="0" w:line="360" w:lineRule="auto"/>
        <w:ind w:firstLine="480"/>
        <w:jc w:val="both"/>
      </w:pPr>
      <w:r>
        <w:rPr>
          <w:rFonts w:ascii="Times New Roman" w:hAnsi="Times New Roman" w:eastAsia="宋体"/>
          <w:b w:val="0"/>
          <w:i w:val="0"/>
          <w:color w:val="000000"/>
          <w:sz w:val="24"/>
        </w:rPr>
        <w:t>争创鲁班奖、国家优质工程、省优工程，不是竣工后“包装”出来的，而是开工时就策划出来的。创优目标确定后，要在质量计划中明确创优做法、工艺样板、影像资料节点和责任人，施工过程同步留存影像和文字资料。基础不好、资料不同步，后期再投入也难创优。</w:t>
      </w:r>
    </w:p>
    <w:p>
      <w:pPr>
        <w:spacing w:before="20" w:after="80" w:line="288" w:lineRule="auto"/>
        <w:ind w:firstLine="0"/>
        <w:jc w:val="left"/>
      </w:pPr>
      <w:r>
        <w:rPr>
          <w:rFonts w:ascii="Times New Roman" w:hAnsi="Times New Roman" w:eastAsia="宋体"/>
          <w:b w:val="0"/>
          <w:i w:val="0"/>
          <w:color w:val="404040"/>
          <w:sz w:val="18"/>
        </w:rPr>
        <w:t>依据：《建筑工程施工质量验收统一标准》GB 50300-2013；各专业验收规范（GB 50202地基基础、GB 50203砌体、GB 50204混凝土结构、GB 50205钢结构、GB 50666混凝土施工规范等，以现行有效版本为准）；《建设工程质量管理条例》（国务院令第714号）第40条最低保修期限。</w:t>
      </w:r>
    </w:p>
    <w:p>
      <w:pPr>
        <w:pStyle w:val="attach_div"/>
        <w:pageBreakBefore/>
        <w:jc w:val="center"/>
      </w:pPr>
      <w:r>
        <w:t>第25章　章末附件</w:t>
      </w:r>
    </w:p>
    <w:p>
      <w:pPr>
        <w:spacing w:before="0" w:after="0" w:line="360" w:lineRule="auto"/>
        <w:ind w:firstLine="480"/>
        <w:jc w:val="both"/>
      </w:pPr>
      <w:r>
        <w:rPr>
          <w:rFonts w:ascii="Times New Roman" w:hAnsi="Times New Roman" w:eastAsia="宋体"/>
          <w:b w:val="0"/>
          <w:i w:val="0"/>
          <w:color w:val="000000"/>
          <w:sz w:val="24"/>
        </w:rPr>
        <w:t>本页之后为《质量管理：百年大计、过程精品与工程创优》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70" w:name="_LarkToc00170"/>
      <w:r>
        <w:t>附件25-1　项目质量计划与质量责任分解表</w:t>
      </w:r>
      <w:bookmarkEnd w:id="170"/>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【用途】开工前编制，明确质量目标、创优要求、各分部分项控制要点和责任人，经监理批准后执行。</w:t>
      </w:r>
    </w:p>
    <w:p>
      <w:pPr>
        <w:keepNext/>
        <w:spacing w:before="80" w:after="40" w:line="288" w:lineRule="auto"/>
        <w:ind w:firstLine="0"/>
        <w:jc w:val="center"/>
      </w:pPr>
      <w:r>
        <w:rPr>
          <w:rFonts w:ascii="Times New Roman" w:hAnsi="Times New Roman" w:eastAsia="黑体"/>
          <w:b/>
          <w:i w:val="0"/>
          <w:color w:val="000000"/>
          <w:sz w:val="21"/>
        </w:rPr>
        <w:t>表25-1　质量目标与质量责任分解表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分部/关键工序</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质量目标/标准</w:t>
            </w:r>
          </w:p>
        </w:tc>
        <w:tc>
          <w:tcPr>
            <w:tcW w:type="dxa" w:w="21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控制要点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验收方式</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质量记录</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地基与基础</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桩基、防水、回填、沉降观测</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隐蔽验收</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主体结构</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钢筋、模板、混凝土、实体检测</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检验批/分项</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砌体工程</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拉结筋、灰缝、构造柱、顶砌</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检验批</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装饰装修</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空鼓、开裂、平整度、观感</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样板/检验批</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屋面与防水</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附加层、节点、蓄水试验</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隐蔽/蓄水</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机电安装</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15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预留预埋、试压、冲洗、调试</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试验/调试</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15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71" w:name="_LarkToc00171"/>
      <w:r>
        <w:t>附件25-2　检验批/分项/分部/单位工程验收划分表</w:t>
      </w:r>
      <w:bookmarkEnd w:id="171"/>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【用途】开工前按GB 50300划定验收单元，明确检验批容量与部位，报监理确认后作为验收依据。</w:t>
      </w:r>
    </w:p>
    <w:p>
      <w:pPr>
        <w:keepNext/>
        <w:spacing w:before="80" w:after="40" w:line="288" w:lineRule="auto"/>
        <w:ind w:firstLine="0"/>
        <w:jc w:val="center"/>
      </w:pPr>
      <w:r>
        <w:rPr>
          <w:rFonts w:ascii="Times New Roman" w:hAnsi="Times New Roman" w:eastAsia="黑体"/>
          <w:b/>
          <w:i w:val="0"/>
          <w:color w:val="000000"/>
          <w:sz w:val="21"/>
        </w:rPr>
        <w:t>表25-2　工程质量验收划分表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单位工程</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分部工程</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分项工程</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检验批划分原则</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容量/数量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监理确认</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（示例）1#楼</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主体结构</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混凝土结构</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按楼层、施工段划分</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每1层1批</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已确认</w:t>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依据：GB 50300-2013《建筑工程施工质量验收统一标准》；具体划分以现行规范及监理批准的验收方案为准。</w:t>
      </w:r>
    </w:p>
    <w:p>
      <w:pPr>
        <w:pStyle w:val="Heading3"/>
        <w:pageBreakBefore/>
        <w:spacing w:before="120"/>
      </w:pPr>
      <w:bookmarkStart w:id="172" w:name="_LarkToc00172"/>
      <w:r>
        <w:t>附件25-3　样板引路实施计划与样板验收记录</w:t>
      </w:r>
      <w:bookmarkEnd w:id="172"/>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【用途】关键工序先做样板，三方验收合格并交底后方可大面积施工；以样板为最低标准。</w:t>
      </w:r>
    </w:p>
    <w:p>
      <w:pPr>
        <w:keepNext/>
        <w:spacing w:before="80" w:after="40" w:line="288" w:lineRule="auto"/>
        <w:ind w:firstLine="0"/>
        <w:jc w:val="center"/>
      </w:pPr>
      <w:r>
        <w:rPr>
          <w:rFonts w:ascii="Times New Roman" w:hAnsi="Times New Roman" w:eastAsia="黑体"/>
          <w:b/>
          <w:i w:val="0"/>
          <w:color w:val="000000"/>
          <w:sz w:val="21"/>
        </w:rPr>
        <w:t>表25-3　样板引路计划与验收记录</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样板部位/工序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计划完成时间</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样板做法与标准</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施工自检</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监理验收</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建设单位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是否放行</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（示例）室内抹灰样板</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2026-05-10</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基层处理、分层抹灰、防裂网</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确认</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2026-05-11</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放行</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□确认</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173" w:name="_LarkToc00173"/>
      <w:r>
        <w:t>附件25-4　实测实量记录表（含常见允许偏差）</w:t>
      </w:r>
      <w:bookmarkEnd w:id="173"/>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【用途】按部位抽检、逐点记录实测数据，统计合格率并与班组考核挂钩；参考偏差值以现行规范为准。</w:t>
      </w:r>
    </w:p>
    <w:p>
      <w:pPr>
        <w:keepNext/>
        <w:spacing w:before="80" w:after="40" w:line="288" w:lineRule="auto"/>
        <w:ind w:firstLine="0"/>
        <w:jc w:val="center"/>
      </w:pPr>
      <w:r>
        <w:rPr>
          <w:rFonts w:ascii="Times New Roman" w:hAnsi="Times New Roman" w:eastAsia="黑体"/>
          <w:b/>
          <w:i w:val="0"/>
          <w:color w:val="000000"/>
          <w:sz w:val="21"/>
        </w:rPr>
        <w:t>表25-4-1　常见实测项目允许偏差参考</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实测项目</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参考允许偏差</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实测项目</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参考允许偏差</w:t>
            </w:r>
          </w:p>
        </w:tc>
      </w:tr>
      <w:tr>
        <w:trPr>
          <w:cantSplit/>
        </w:trPr>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现浇结构截面尺寸</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+8mm，-5mm</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表面平整度（2m靠尺）</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8mm</w:t>
            </w:r>
          </w:p>
        </w:tc>
      </w:tr>
      <w:tr>
        <w:trPr>
          <w:cantSplit/>
        </w:trPr>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轴线位置</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8mm</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垂直度（层高≤6m）</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8mm</w:t>
            </w:r>
          </w:p>
        </w:tc>
      </w:tr>
      <w:tr>
        <w:trPr>
          <w:cantSplit/>
        </w:trPr>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钢筋保护层（梁柱）</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±5mm</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钢筋保护层（板墙壳）</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±3mm</w:t>
            </w:r>
          </w:p>
        </w:tc>
      </w:tr>
      <w:tr>
        <w:trPr>
          <w:cantSplit/>
        </w:trPr>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砌体灰缝厚度</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8—12mm</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门窗洞口尺寸</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±5mm</w:t>
            </w:r>
          </w:p>
        </w:tc>
      </w:tr>
    </w:tbl>
    <w:p>
      <w:pPr>
        <w:keepNext/>
        <w:spacing w:before="80" w:after="40" w:line="288" w:lineRule="auto"/>
        <w:ind w:firstLine="0"/>
        <w:jc w:val="center"/>
      </w:pPr>
      <w:r>
        <w:rPr>
          <w:rFonts w:ascii="Times New Roman" w:hAnsi="Times New Roman" w:eastAsia="黑体"/>
          <w:b/>
          <w:i w:val="0"/>
          <w:color w:val="000000"/>
          <w:sz w:val="21"/>
        </w:rPr>
        <w:t>表25-4-2　实测实量记录</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部位/构件</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实测项目</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标准值</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实测值1</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实测值2</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实测值3</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测量人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（示例）五层③轴柱</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截面尺寸</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+8/-5mm</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305</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304</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303</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王工</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注：允许偏差参考GB 50204、GB 50203等现行验收规范，具体以现行有效版本及设计要求为准；示例行用后删除。</w:t>
      </w:r>
    </w:p>
    <w:p>
      <w:pPr>
        <w:pStyle w:val="Heading3"/>
        <w:pageBreakBefore/>
        <w:spacing w:before="120"/>
      </w:pPr>
      <w:bookmarkStart w:id="174" w:name="_LarkToc00174"/>
      <w:r>
        <w:t>附件25-5　质量通病防治措施清单（钢筋/混凝土/砌体/抹灰/防水/安装，分专业）</w:t>
      </w:r>
      <w:bookmarkEnd w:id="174"/>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【用途】按专业列出常见通病、预防措施和检查要点，纳入班组技术交底并跟踪落实。</w:t>
      </w:r>
    </w:p>
    <w:p>
      <w:pPr>
        <w:keepNext/>
        <w:spacing w:before="80" w:after="40" w:line="288" w:lineRule="auto"/>
        <w:ind w:firstLine="0"/>
        <w:jc w:val="center"/>
      </w:pPr>
      <w:r>
        <w:rPr>
          <w:rFonts w:ascii="Times New Roman" w:hAnsi="Times New Roman" w:eastAsia="黑体"/>
          <w:b/>
          <w:i w:val="0"/>
          <w:color w:val="000000"/>
          <w:sz w:val="21"/>
        </w:rPr>
        <w:t>表25-5　质量通病分专业防治清单</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专业</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常见通病</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主要预防措施</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检查/验收要点</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钢筋</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保护层不足、间距偏位</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垫块按距设置、定位筋、浇筑前校正</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隐蔽验收量测</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混凝土</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蜂窝麻面、裂缝、漏振</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控制坍落度、分层振捣、及时养护</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拆模后观感、裂缝检查</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砌体</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灰缝不匀、通缝、顶裂</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拉结筋、错缝、顶砌间隔≥14天</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百格网、顶砌时间</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抹灰</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空鼓、开裂、起壳</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基层湿润、分层抹灰、挂网</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小锤敲击、现场实测</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防水</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渗漏</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附加层、节点加强、压实</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蓄水/淋水试验</w:t>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安装</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管道渗漏、堵塞</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试压、冲洗、预留预埋准确</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试压记录、通球试验</w:t>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75" w:name="_LarkToc00175"/>
      <w:r>
        <w:t>附件25-6　原材料构配件进场验收与见证取样台账</w:t>
      </w:r>
      <w:bookmarkEnd w:id="175"/>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【用途】进场材料查质保书、核对规格数量、见证取样送检；未检或不合格不得使用，甲供材同样验收。</w:t>
      </w:r>
    </w:p>
    <w:p>
      <w:pPr>
        <w:keepNext/>
        <w:spacing w:before="80" w:after="40" w:line="288" w:lineRule="auto"/>
        <w:ind w:firstLine="0"/>
        <w:jc w:val="center"/>
      </w:pPr>
      <w:r>
        <w:rPr>
          <w:rFonts w:ascii="Times New Roman" w:hAnsi="Times New Roman" w:eastAsia="黑体"/>
          <w:b/>
          <w:i w:val="0"/>
          <w:color w:val="000000"/>
          <w:sz w:val="21"/>
        </w:rPr>
        <w:t>表25-6　材料进场验收与见证取样台账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材料名称/规格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数量/单位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供应商</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质保书</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取样送检</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报告结果</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使用部位</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（示例）C30商品混凝土</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120m³</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XX商砼</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已取样</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三层梁板</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李工</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注：报告结果不合格的批次立即标识隔离、清退，并追溯已使用部位；供应商一律用泛称，示例行用后删除。</w:t>
      </w:r>
    </w:p>
    <w:p>
      <w:pPr>
        <w:pStyle w:val="Heading3"/>
        <w:pageBreakBefore/>
        <w:spacing w:before="120"/>
      </w:pPr>
      <w:bookmarkStart w:id="176" w:name="_LarkToc00176"/>
      <w:r>
        <w:t>附件25-7　质量问题整改通知单与质量事故处理报告表</w:t>
      </w:r>
      <w:bookmarkEnd w:id="176"/>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【用途】一般质量问题发整改通知单闭环销号；涉及结构安全的按设计方案处理，事故按规定报告。</w:t>
      </w:r>
    </w:p>
    <w:p>
      <w:pPr>
        <w:keepNext/>
        <w:spacing w:before="80" w:after="40" w:line="288" w:lineRule="auto"/>
        <w:ind w:firstLine="0"/>
        <w:jc w:val="center"/>
      </w:pPr>
      <w:r>
        <w:rPr>
          <w:rFonts w:ascii="Times New Roman" w:hAnsi="Times New Roman" w:eastAsia="黑体"/>
          <w:b/>
          <w:i w:val="0"/>
          <w:color w:val="000000"/>
          <w:sz w:val="21"/>
        </w:rPr>
        <w:t>表25-7-1　质量问题整改通知单</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00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通知单编号/日期</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部位与问题描述</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问题等级</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□一般质量问题 □需设计处理 □质量事故</w:t>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整改要求与期限</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整改责任人/班组</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复查结果</w:t>
            </w:r>
          </w:p>
        </w:tc>
        <w:tc>
          <w:tcPr>
            <w:tcW w:type="dxa" w:w="600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□合格销号 □再整改（日期：　　）</w:t>
            </w:r>
          </w:p>
        </w:tc>
      </w:tr>
      <w:tr>
        <w:trPr>
          <w:cantSplit/>
        </w:trPr>
        <w:tc>
          <w:tcPr>
            <w:tcW w:type="dxa" w:w="2608"/>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复查人/日期</w:t>
            </w:r>
          </w:p>
        </w:tc>
        <w:tc>
          <w:tcPr>
            <w:tcW w:type="dxa" w:w="600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keepNext/>
        <w:spacing w:before="80" w:after="40" w:line="288" w:lineRule="auto"/>
        <w:ind w:firstLine="0"/>
        <w:jc w:val="center"/>
      </w:pPr>
      <w:r>
        <w:rPr>
          <w:rFonts w:ascii="Times New Roman" w:hAnsi="Times New Roman" w:eastAsia="黑体"/>
          <w:b/>
          <w:i w:val="0"/>
          <w:color w:val="000000"/>
          <w:sz w:val="21"/>
        </w:rPr>
        <w:t>表25-7-2　质量事故处理报告（要点）</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要点</w:t>
            </w:r>
          </w:p>
        </w:tc>
        <w:tc>
          <w:tcPr>
            <w:tcW w:type="dxa" w:w="7143"/>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内容要求</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事故经过</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时间、部位、现象、发现过程</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原因分析</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人、机、料、法、环逐项分析</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报告情况</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向建设、监理、主管部门报告的时间与对象</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处理方案</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设计单位出具的返修/加固方案</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实施与验收</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处理过程、重新验收结论</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防范措施</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防止同类问题再发生的措施</w:t>
            </w:r>
          </w:p>
        </w:tc>
      </w:tr>
    </w:tbl>
    <w:p>
      <w:pPr>
        <w:pStyle w:val="Heading3"/>
        <w:pageBreakBefore/>
        <w:spacing w:before="120"/>
      </w:pPr>
      <w:bookmarkStart w:id="177" w:name="_LarkToc00177"/>
      <w:r>
        <w:t>附件25-8　工程创优策划与自评对照表（创优目标、做法、资料、节点）</w:t>
      </w:r>
      <w:bookmarkEnd w:id="177"/>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【用途】创优目标开工即定，逐项落实创优做法、影像资料节点和责任人，过程同步留痕。</w:t>
      </w:r>
    </w:p>
    <w:p>
      <w:pPr>
        <w:keepNext/>
        <w:spacing w:before="80" w:after="40" w:line="288" w:lineRule="auto"/>
        <w:ind w:firstLine="0"/>
        <w:jc w:val="center"/>
      </w:pPr>
      <w:r>
        <w:rPr>
          <w:rFonts w:ascii="Times New Roman" w:hAnsi="Times New Roman" w:eastAsia="黑体"/>
          <w:b/>
          <w:i w:val="0"/>
          <w:color w:val="000000"/>
          <w:sz w:val="21"/>
        </w:rPr>
        <w:t>表25-8　创优策划与自评对照表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创优项目</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目标/做法</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资料/影像要求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责任节点</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完成情况</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自评</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（示例）屋面成品</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砖排整齐、泛水圆弧</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过程照片+实景影像</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屋面封顶前</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结构实体</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□优□良□差</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装饰观感</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□优□良□差</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安装工程</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□优□良□差</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资料同步</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□优□良□差</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注：创优评审以现行评选办法和评审标准为准；严禁竣工后集中“补资料、摆样板”。</w:t>
      </w:r>
    </w:p>
    <w:p>
      <w:pPr>
        <w:pStyle w:val="Heading3"/>
        <w:pageBreakBefore/>
        <w:spacing w:before="120"/>
      </w:pPr>
      <w:bookmarkStart w:id="178" w:name="_LarkToc00178"/>
      <w:r>
        <w:t>附件25-9　质量例会与质量检查考核表</w:t>
      </w:r>
      <w:bookmarkEnd w:id="178"/>
    </w:p>
    <w:p>
      <w:pPr>
        <w:spacing w:before="0" w:after="40" w:line="312" w:lineRule="auto"/>
        <w:ind w:firstLine="0"/>
        <w:jc w:val="left"/>
      </w:pPr>
      <w:r>
        <w:rPr>
          <w:rFonts w:ascii="Times New Roman" w:hAnsi="Times New Roman" w:eastAsia="宋体"/>
          <w:b w:val="0"/>
          <w:i w:val="0"/>
          <w:color w:val="595959"/>
          <w:sz w:val="18"/>
        </w:rPr>
        <w:t>【归属】第25章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【用途】每周质量例会使用，通报验收、实测、整改情况，考核结果与结算、绩效挂钩。</w:t>
      </w:r>
    </w:p>
    <w:p>
      <w:pPr>
        <w:keepNext/>
        <w:spacing w:before="80" w:after="40" w:line="288" w:lineRule="auto"/>
        <w:ind w:firstLine="0"/>
        <w:jc w:val="center"/>
      </w:pPr>
      <w:r>
        <w:rPr>
          <w:rFonts w:ascii="Times New Roman" w:hAnsi="Times New Roman" w:eastAsia="黑体"/>
          <w:b/>
          <w:i w:val="0"/>
          <w:color w:val="000000"/>
          <w:sz w:val="21"/>
        </w:rPr>
        <w:t>表25-9　质量例会与考核表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会议期次</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检验批验收情况</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实测合格率</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通病整改闭环率</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奖罚意见</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下周重点</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（示例）第12周</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18批合格、1批整改</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92.50%</w:t>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100%</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抹灰班奖500元</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屋面防水</w:t>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注：实测合格率、整改闭环率均以台账数据为准，保留两位小数；奖罚标准按企业制度执行。示例行用后删除。</w:t>
      </w:r>
    </w:p>
    <w:p>
      <w:pPr>
        <w:pStyle w:val="Heading2"/>
        <w:pageBreakBefore/>
      </w:pPr>
      <w:bookmarkStart w:id="32" w:name="_LarkToc00032"/>
      <w:r>
        <w:t>第26章　物资管理：把好材料进出与成本关</w:t>
      </w:r>
      <w:bookmarkEnd w:id="32"/>
    </w:p>
    <w:p>
      <w:pPr>
        <w:pStyle w:val="sec_head"/>
      </w:pPr>
      <w:r>
        <w:t>26.1　物资是质量与成本的双重关口</w:t>
      </w:r>
    </w:p>
    <w:p>
      <w:pPr>
        <w:spacing w:before="0" w:after="0" w:line="360" w:lineRule="auto"/>
        <w:ind w:firstLine="480"/>
        <w:jc w:val="both"/>
      </w:pPr>
      <w:r>
        <w:rPr>
          <w:rFonts w:ascii="Times New Roman" w:hAnsi="Times New Roman" w:eastAsia="宋体"/>
          <w:b w:val="0"/>
          <w:i w:val="0"/>
          <w:color w:val="000000"/>
          <w:sz w:val="24"/>
        </w:rPr>
        <w:t>“兵马未动，粮草先行”。材料通常占工程成本的大半，又是实体质量的物质基础：材料进错了、进贵了、进少了、进假了，进度、质量、成本三方面同时被动。物资管理要把两道关——质量关（不合格材料不进现场）和成本关（不买贵、不浪费、不流失），并把两道关落到同一条线上：从供应商、采购、合同、验收、仓储、领用、退料、盘点，环环有台账、有签字、有复核。</w:t>
      </w:r>
    </w:p>
    <w:p>
      <w:pPr>
        <w:pStyle w:val="sec_head"/>
      </w:pPr>
      <w:r>
        <w:t>26.2　供应商准入与评价：只用合格供方</w:t>
      </w:r>
    </w:p>
    <w:p>
      <w:pPr>
        <w:spacing w:before="0" w:after="0" w:line="360" w:lineRule="auto"/>
        <w:ind w:firstLine="480"/>
        <w:jc w:val="both"/>
      </w:pPr>
      <w:r>
        <w:rPr>
          <w:rFonts w:ascii="Times New Roman" w:hAnsi="Times New Roman" w:eastAsia="宋体"/>
          <w:b w:val="0"/>
          <w:i w:val="0"/>
          <w:color w:val="000000"/>
          <w:sz w:val="24"/>
        </w:rPr>
        <w:t>材料、构配件、设备供应商实行准入管理：查营业执照、生产/经营资质、产品合格证、质量保证能力、业绩和信誉，必要时实地考察；评审合格的列入合格供方名录，采购只在名录内进行。每年对供方从质量、价格、交期、服务、配合度进行评价，不合格的淘汰。供应商管理是廉洁风险高发环节，询价、定价、选型、验收岗位要分离。</w:t>
      </w:r>
    </w:p>
    <w:p>
      <w:pPr>
        <w:pStyle w:val="sec_head"/>
      </w:pPr>
      <w:r>
        <w:t>26.3　采购招标与询比价：货比三家</w:t>
      </w:r>
    </w:p>
    <w:p>
      <w:pPr>
        <w:spacing w:before="0" w:after="0" w:line="360" w:lineRule="auto"/>
        <w:ind w:firstLine="480"/>
        <w:jc w:val="both"/>
      </w:pPr>
      <w:r>
        <w:rPr>
          <w:rFonts w:ascii="Times New Roman" w:hAnsi="Times New Roman" w:eastAsia="宋体"/>
          <w:b w:val="0"/>
          <w:i w:val="0"/>
          <w:color w:val="000000"/>
          <w:sz w:val="24"/>
        </w:rPr>
        <w:t>大宗材料、重要设备按企业规定招标或询比价，原则上不少于三家报价，对比质量、价格、运距、付款条件和售后服务，集体定标并留痕。严禁先口头定供应商、后补手续；严禁同一个人从头到尾包办询价、定标、验收、付款。</w:t>
      </w:r>
    </w:p>
    <w:p>
      <w:pPr>
        <w:pStyle w:val="sec_head"/>
      </w:pPr>
      <w:r>
        <w:t>26.4　采购合同：关键条款先核查</w:t>
      </w:r>
    </w:p>
    <w:p>
      <w:pPr>
        <w:spacing w:before="0" w:after="0" w:line="360" w:lineRule="auto"/>
        <w:ind w:firstLine="480"/>
        <w:jc w:val="both"/>
      </w:pPr>
      <w:r>
        <w:rPr>
          <w:rFonts w:ascii="Times New Roman" w:hAnsi="Times New Roman" w:eastAsia="宋体"/>
          <w:b w:val="0"/>
          <w:i w:val="0"/>
          <w:color w:val="000000"/>
          <w:sz w:val="24"/>
        </w:rPr>
        <w:t>采购合同应明确品名规格、质量标准与验收方式、数量单价、交货时间地点与方式、包装与运输责任、付款方式与比例、发票要求、违约责任、争议解决。重点核查：质量标准是否引用现行有效规范、质保期、不合格退换、“背靠背”付款条款是否过严、是否要求我方放弃质量抗辩等。</w:t>
      </w:r>
    </w:p>
    <w:p>
      <w:pPr>
        <w:pStyle w:val="sec_head"/>
      </w:pPr>
      <w:r>
        <w:t>26.5　进场验收与报验：数量、质量两对照</w:t>
      </w:r>
    </w:p>
    <w:p>
      <w:pPr>
        <w:spacing w:before="0" w:after="0" w:line="360" w:lineRule="auto"/>
        <w:ind w:firstLine="480"/>
        <w:jc w:val="both"/>
      </w:pPr>
      <w:r>
        <w:rPr>
          <w:rFonts w:ascii="Times New Roman" w:hAnsi="Times New Roman" w:eastAsia="宋体"/>
          <w:b w:val="0"/>
          <w:i w:val="0"/>
          <w:color w:val="000000"/>
          <w:sz w:val="24"/>
        </w:rPr>
        <w:t>材料进场由材料员、质检员（必要时监理）共同验收：核对送货单与合同、实物与质保书，清点数量、检查外观和规格尺寸，按规定见证取样送检。验收合格签字入库，不合格的当场拒收或标识隔离；直接运到作业面的材料同样必须验收，不得“货送到场就算完”。</w:t>
      </w:r>
    </w:p>
    <w:p>
      <w:pPr>
        <w:pStyle w:val="sec_head"/>
      </w:pPr>
      <w:r>
        <w:t>26.6　仓储与限额领用：用多少、领多少</w:t>
      </w:r>
    </w:p>
    <w:p>
      <w:pPr>
        <w:spacing w:before="0" w:after="0" w:line="360" w:lineRule="auto"/>
        <w:ind w:firstLine="480"/>
        <w:jc w:val="both"/>
      </w:pPr>
      <w:r>
        <w:rPr>
          <w:rFonts w:ascii="Times New Roman" w:hAnsi="Times New Roman" w:eastAsia="宋体"/>
          <w:b w:val="0"/>
          <w:i w:val="0"/>
          <w:color w:val="000000"/>
          <w:sz w:val="24"/>
        </w:rPr>
        <w:t>现场材料按总平面布置分区堆放、挂牌标识，水泥、外加剂等防潮防雨，易燃品分库存放。实行限额领料：按施工预算和配合比核定领用数量，凭领料单发料，超限额须审批并分析原因。每月盘点，做到账、物、卡三相符；盘盈盘亏查明原因、及时处理。废料、余料回收退库，不得随意丢弃或变卖。</w:t>
      </w:r>
    </w:p>
    <w:p>
      <w:pPr>
        <w:pStyle w:val="sec_head"/>
      </w:pPr>
      <w:r>
        <w:t>26.7　周转材料进退场与摊销</w:t>
      </w:r>
    </w:p>
    <w:p>
      <w:pPr>
        <w:spacing w:before="0" w:after="0" w:line="360" w:lineRule="auto"/>
        <w:ind w:firstLine="480"/>
        <w:jc w:val="both"/>
      </w:pPr>
      <w:r>
        <w:rPr>
          <w:rFonts w:ascii="Times New Roman" w:hAnsi="Times New Roman" w:eastAsia="宋体"/>
          <w:b w:val="0"/>
          <w:i w:val="0"/>
          <w:color w:val="000000"/>
          <w:sz w:val="24"/>
        </w:rPr>
        <w:t>模板、脚手架钢管扣件、顶托、安全网等周转材料，按使用计划进退场，清点数量、检查成色，建立台账；按使用次数或工期摊销，退场时回收、清理、维修，丢失、损坏分清责任。周转材料闲置是隐性成本，完工及时退场退租。</w:t>
      </w:r>
    </w:p>
    <w:p>
      <w:pPr>
        <w:pStyle w:val="sec_head"/>
      </w:pPr>
      <w:r>
        <w:t>26.8　甲供材料设备：计划、验收、领用一条线</w:t>
      </w:r>
    </w:p>
    <w:p>
      <w:pPr>
        <w:spacing w:before="0" w:after="0" w:line="360" w:lineRule="auto"/>
        <w:ind w:firstLine="480"/>
        <w:jc w:val="both"/>
      </w:pPr>
      <w:r>
        <w:rPr>
          <w:rFonts w:ascii="Times New Roman" w:hAnsi="Times New Roman" w:eastAsia="宋体"/>
          <w:b w:val="0"/>
          <w:i w:val="0"/>
          <w:color w:val="000000"/>
          <w:sz w:val="24"/>
        </w:rPr>
        <w:t>甲供材同样要管理：提前编制需求计划报建设单位，明确品种、规格、数量、进场时间；进场共同验收，不合格书面报建设单位退换；领用登记，与预算对比，节约或超耗按合同约定处理。甲供材不得视为“不要钱”而随意浪费，也不得把甲供材挪作他用或对外流转。</w:t>
      </w:r>
    </w:p>
    <w:p>
      <w:pPr>
        <w:pStyle w:val="sec_head"/>
      </w:pPr>
      <w:r>
        <w:t>26.9　不合格品处置与追溯（红线）</w:t>
      </w:r>
    </w:p>
    <w:p>
      <w:pPr>
        <w:spacing w:before="0" w:after="0" w:line="360" w:lineRule="auto"/>
        <w:ind w:firstLine="480"/>
        <w:jc w:val="both"/>
      </w:pPr>
      <w:r>
        <w:rPr>
          <w:rFonts w:ascii="Times New Roman" w:hAnsi="Times New Roman" w:eastAsia="宋体"/>
          <w:b w:val="0"/>
          <w:i w:val="0"/>
          <w:color w:val="000000"/>
          <w:sz w:val="24"/>
        </w:rPr>
        <w:t>进场不合格材料，立即标识、隔离、通知供方退换并记录；已用于工程的，按质量问题程序追溯部位、评估影响、经设计确认后处理。物资管理红线：无计划采购、无合同采购、验收一人包办、以次充好、帐外物资、私拿私卖、供应商与管理人员利益输送。</w:t>
      </w:r>
    </w:p>
    <w:p>
      <w:pPr>
        <w:pStyle w:val="attach_div"/>
        <w:pageBreakBefore/>
        <w:jc w:val="center"/>
      </w:pPr>
      <w:r>
        <w:t>第26章　章末附件</w:t>
      </w:r>
    </w:p>
    <w:p>
      <w:pPr>
        <w:spacing w:before="0" w:after="0" w:line="360" w:lineRule="auto"/>
        <w:ind w:firstLine="480"/>
        <w:jc w:val="both"/>
      </w:pPr>
      <w:r>
        <w:rPr>
          <w:rFonts w:ascii="Times New Roman" w:hAnsi="Times New Roman" w:eastAsia="宋体"/>
          <w:b w:val="0"/>
          <w:i w:val="0"/>
          <w:color w:val="000000"/>
          <w:sz w:val="24"/>
        </w:rPr>
        <w:t>本页之后为《物资管理：把好材料进出与成本关》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79" w:name="_LarkToc00179"/>
      <w:r>
        <w:t>附件26-1　供应商准入评审与合格供方名录、年度评价表</w:t>
      </w:r>
      <w:bookmarkEnd w:id="179"/>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【用途】新供应商准入前评审，合格者入名录；每年复评，不合格淘汰。采购只在名录内进行。</w:t>
      </w:r>
    </w:p>
    <w:p>
      <w:pPr>
        <w:keepNext/>
        <w:spacing w:before="80" w:after="40" w:line="288" w:lineRule="auto"/>
        <w:ind w:firstLine="0"/>
        <w:jc w:val="center"/>
      </w:pPr>
      <w:r>
        <w:rPr>
          <w:rFonts w:ascii="Times New Roman" w:hAnsi="Times New Roman" w:eastAsia="黑体"/>
          <w:b/>
          <w:i w:val="0"/>
          <w:color w:val="000000"/>
          <w:sz w:val="21"/>
        </w:rPr>
        <w:t>表26-1-1　供应商准入评审表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评审项</w:t>
            </w:r>
          </w:p>
        </w:tc>
        <w:tc>
          <w:tcPr>
            <w:tcW w:type="dxa" w:w="340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评审内容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评审结论</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资质证照</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营业执照、生产/经营资质、有效性</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□合格□不合格</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质量保证</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产品合格证、检测报告、质保体系</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□合格□不合格</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业绩信誉</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同类项目业绩、履约与信誉</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□合格□不合格</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价格与服务</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报价水平、交期、售后</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□合格□不合格</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综合结论</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是否列入合格供方名录</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□列入□不列入</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keepNext/>
        <w:spacing w:before="80" w:after="40" w:line="288" w:lineRule="auto"/>
        <w:ind w:firstLine="0"/>
        <w:jc w:val="center"/>
      </w:pPr>
      <w:r>
        <w:rPr>
          <w:rFonts w:ascii="Times New Roman" w:hAnsi="Times New Roman" w:eastAsia="黑体"/>
          <w:b/>
          <w:i w:val="0"/>
          <w:color w:val="000000"/>
          <w:sz w:val="21"/>
        </w:rPr>
        <w:t>表26-1-2　合格供方名录与年度评价表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供应商（泛称）</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供应品类</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进场批次</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质量合格率</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交期履约率</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年度评价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是否保留</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（示例）某商砼站</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商品混凝土</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100.00%</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96.00%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优</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保留</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注：合格率、履约率按台账统计，保留两位小数；供应商一律用泛称，不得写入具体企业名；示例行用后删除。</w:t>
      </w:r>
    </w:p>
    <w:p>
      <w:pPr>
        <w:pStyle w:val="Heading3"/>
        <w:pageBreakBefore/>
        <w:spacing w:before="120"/>
      </w:pPr>
      <w:bookmarkStart w:id="180" w:name="_LarkToc00180"/>
      <w:r>
        <w:t>附件26-2　材料采购招标/询比价审批表</w:t>
      </w:r>
      <w:bookmarkEnd w:id="180"/>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【用途】大宗材料、重要设备采购前使用，不少于三家报价，集体定标留痕。</w:t>
      </w:r>
    </w:p>
    <w:p>
      <w:pPr>
        <w:keepNext/>
        <w:spacing w:before="80" w:after="40" w:line="288" w:lineRule="auto"/>
        <w:ind w:firstLine="0"/>
        <w:jc w:val="center"/>
      </w:pPr>
      <w:r>
        <w:rPr>
          <w:rFonts w:ascii="Times New Roman" w:hAnsi="Times New Roman" w:eastAsia="黑体"/>
          <w:b/>
          <w:i w:val="0"/>
          <w:color w:val="000000"/>
          <w:sz w:val="21"/>
        </w:rPr>
        <w:t>表26-2　采购询比价审批表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采购内容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预算数量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报价单位A</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报价单位B</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报价单位C</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推荐单位</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推荐理由</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（示例）HRB400螺纹钢</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200t</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3,850.00元/t</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3,820.00元/t</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3,880.00元/t</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B</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价格低、距离近</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注：金额保留两位小数；询比价、定标、验收岗位不得由同一人包办；示例行用后删除。</w:t>
      </w:r>
    </w:p>
    <w:p>
      <w:pPr>
        <w:pStyle w:val="Heading3"/>
        <w:pageBreakBefore/>
        <w:spacing w:before="120"/>
      </w:pPr>
      <w:bookmarkStart w:id="181" w:name="_LarkToc00181"/>
      <w:r>
        <w:t>附件26-3　物资采购合同关键条款核查表</w:t>
      </w:r>
      <w:bookmarkEnd w:id="181"/>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【用途】采购合同签订前逐条核查，防止质量标准不清、付款条件不利、违约责任缺失。</w:t>
      </w:r>
    </w:p>
    <w:p>
      <w:pPr>
        <w:keepNext/>
        <w:spacing w:before="80" w:after="40" w:line="288" w:lineRule="auto"/>
        <w:ind w:firstLine="0"/>
        <w:jc w:val="center"/>
      </w:pPr>
      <w:r>
        <w:rPr>
          <w:rFonts w:ascii="Times New Roman" w:hAnsi="Times New Roman" w:eastAsia="黑体"/>
          <w:b/>
          <w:i w:val="0"/>
          <w:color w:val="000000"/>
          <w:sz w:val="21"/>
        </w:rPr>
        <w:t>表26-3　采购合同关键条款核查表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核查条款</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核查要点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是否符合</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处理意见</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品名规格质量标准</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引用现行有效规范、标号明确</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数量单价与总价</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计量单位、单价、总价大小写一致</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交货时间地点方式</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进场计划吻合、运输责任明确</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验收方式</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进场验收、见证取样不合格退换</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付款方式</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预付款比例、进度款、质保金</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发票</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发票类型、税率、开票时点</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违约责任</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逾期交货、质量违约的责任</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争议解决</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管辖约定是否有利</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82" w:name="_LarkToc00182"/>
      <w:r>
        <w:t>附件26-4　材料/构配件/设备进场验收与报验单</w:t>
      </w:r>
      <w:bookmarkEnd w:id="182"/>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【用途】材料进场由材料员、质检员共同验收，需监理见证的同步报验；不合格当场拒收或隔离。</w:t>
      </w:r>
    </w:p>
    <w:p>
      <w:pPr>
        <w:keepNext/>
        <w:spacing w:before="80" w:after="40" w:line="288" w:lineRule="auto"/>
        <w:ind w:firstLine="0"/>
        <w:jc w:val="center"/>
      </w:pPr>
      <w:r>
        <w:rPr>
          <w:rFonts w:ascii="Times New Roman" w:hAnsi="Times New Roman" w:eastAsia="黑体"/>
          <w:b/>
          <w:i w:val="0"/>
          <w:color w:val="000000"/>
          <w:sz w:val="21"/>
        </w:rPr>
        <w:t>表26-4　材料进场验收与报验单</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材料名称/规格</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单位</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送货数量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实物验收</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质保文件</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取样送检</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验收结论</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（示例）P·O 42.5水泥</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t</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60</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外观正常</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齐全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已取样</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合格入库</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李/王</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183" w:name="_LarkToc00183"/>
      <w:r>
        <w:t>附件26-5　材料仓储台账（收发存与月度盘点，与限额领料衔接）</w:t>
      </w:r>
      <w:bookmarkEnd w:id="183"/>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【用途】按品种登记收发存，与限额领料衔接；每月盘点，账物卡三相符。</w:t>
      </w:r>
    </w:p>
    <w:p>
      <w:pPr>
        <w:keepNext/>
        <w:spacing w:before="80" w:after="40" w:line="288" w:lineRule="auto"/>
        <w:ind w:firstLine="0"/>
        <w:jc w:val="center"/>
      </w:pPr>
      <w:r>
        <w:rPr>
          <w:rFonts w:ascii="Times New Roman" w:hAnsi="Times New Roman" w:eastAsia="黑体"/>
          <w:b/>
          <w:i w:val="0"/>
          <w:color w:val="000000"/>
          <w:sz w:val="21"/>
        </w:rPr>
        <w:t>表26-5　材料收发存与月度盘点表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材料名称/规格</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单位</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月初结存</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本月进场</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本月领用</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月末账面</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盘点实存</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盘盈/盘亏</w:t>
            </w:r>
          </w:p>
        </w:tc>
        <w:tc>
          <w:tcPr>
            <w:tcW w:type="dxa" w:w="119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原因处理</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（示例）木模板</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m²</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800.00</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500.00</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600.00</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700.00</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695.00</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-5.00</w:t>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耗损登记</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注：数量保留两位小数；超限额领用须经审批并分析原因；示例行用后删除。</w:t>
      </w:r>
    </w:p>
    <w:p>
      <w:pPr>
        <w:pStyle w:val="Heading3"/>
        <w:pageBreakBefore/>
        <w:spacing w:before="120"/>
      </w:pPr>
      <w:bookmarkStart w:id="184" w:name="_LarkToc00184"/>
      <w:r>
        <w:t>附件26-6　周转材料进退场与摊销、损耗计算表</w:t>
      </w:r>
      <w:bookmarkEnd w:id="184"/>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【用途】模板、钢管扣件等周转材料按进退场清点登记，按次或按期摊销，损耗分清责任。</w:t>
      </w:r>
    </w:p>
    <w:p>
      <w:pPr>
        <w:keepNext/>
        <w:spacing w:before="80" w:after="40" w:line="288" w:lineRule="auto"/>
        <w:ind w:firstLine="0"/>
        <w:jc w:val="center"/>
      </w:pPr>
      <w:r>
        <w:rPr>
          <w:rFonts w:ascii="Times New Roman" w:hAnsi="Times New Roman" w:eastAsia="黑体"/>
          <w:b/>
          <w:i w:val="0"/>
          <w:color w:val="000000"/>
          <w:sz w:val="21"/>
        </w:rPr>
        <w:t>表26-6　周转材料进退场与摊销表</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名称/规格</w:t>
            </w:r>
          </w:p>
        </w:tc>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退场日期</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进场数量</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退场数量</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损耗量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摊销方式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摊销金额</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（示例）扣件式钢管</w:t>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t</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2026-03-01</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2026-09-30</w:t>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120.00</w:t>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116.00</w:t>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4.00</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按月摊销</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18,000.00</w:t>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注：金额保留两位小数；完工后及时退场退租，减少闲置；损耗非正常丢失损坏须分清责任。示例行用后删除。</w:t>
      </w:r>
    </w:p>
    <w:p>
      <w:pPr>
        <w:pStyle w:val="Heading3"/>
        <w:pageBreakBefore/>
        <w:spacing w:before="120"/>
      </w:pPr>
      <w:bookmarkStart w:id="185" w:name="_LarkToc00185"/>
      <w:r>
        <w:t>附件26-7　甲供材料/设备需求计划与领用台账</w:t>
      </w:r>
      <w:bookmarkEnd w:id="185"/>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【用途】甲供材提前报需求计划，进场共同验收，领用登记并与预算对比。</w:t>
      </w:r>
    </w:p>
    <w:p>
      <w:pPr>
        <w:keepNext/>
        <w:spacing w:before="80" w:after="40" w:line="288" w:lineRule="auto"/>
        <w:ind w:firstLine="0"/>
        <w:jc w:val="center"/>
      </w:pPr>
      <w:r>
        <w:rPr>
          <w:rFonts w:ascii="Times New Roman" w:hAnsi="Times New Roman" w:eastAsia="黑体"/>
          <w:b/>
          <w:i w:val="0"/>
          <w:color w:val="000000"/>
          <w:sz w:val="21"/>
        </w:rPr>
        <w:t>表26-7　甲供材料需求计划与领用台账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甲供材名称/规格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需求数量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计划进场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实际到货</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领用数量</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领用部位</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节超</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经办人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（示例）入户防火门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120樘</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118樘</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100樘</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1—10层</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正常</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注：甲供材不合格的书面报建设单位退换；节约或超耗按合同约定处理，不得挪作他用。示例行用后删除。</w:t>
      </w:r>
    </w:p>
    <w:p>
      <w:pPr>
        <w:pStyle w:val="Heading3"/>
        <w:pageBreakBefore/>
        <w:spacing w:before="120"/>
      </w:pPr>
      <w:bookmarkStart w:id="186" w:name="_LarkToc00186"/>
      <w:r>
        <w:t>附件26-8　不合格材料标识、隔离、退场与追溯表</w:t>
      </w:r>
      <w:bookmarkEnd w:id="186"/>
    </w:p>
    <w:p>
      <w:pPr>
        <w:spacing w:before="0" w:after="40" w:line="312" w:lineRule="auto"/>
        <w:ind w:firstLine="0"/>
        <w:jc w:val="left"/>
      </w:pPr>
      <w:r>
        <w:rPr>
          <w:rFonts w:ascii="Times New Roman" w:hAnsi="Times New Roman" w:eastAsia="宋体"/>
          <w:b w:val="0"/>
          <w:i w:val="0"/>
          <w:color w:val="595959"/>
          <w:sz w:val="18"/>
        </w:rPr>
        <w:t>【归属】第26章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【用途】不合格材料立即标识隔离、限期退场；已使用的追溯部位并按质量程序处理。</w:t>
      </w:r>
    </w:p>
    <w:p>
      <w:pPr>
        <w:keepNext/>
        <w:spacing w:before="80" w:after="40" w:line="288" w:lineRule="auto"/>
        <w:ind w:firstLine="0"/>
        <w:jc w:val="center"/>
      </w:pPr>
      <w:r>
        <w:rPr>
          <w:rFonts w:ascii="Times New Roman" w:hAnsi="Times New Roman" w:eastAsia="黑体"/>
          <w:b/>
          <w:i w:val="0"/>
          <w:color w:val="000000"/>
          <w:sz w:val="21"/>
        </w:rPr>
        <w:t>表26-8　不合格材料处置与追溯表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材料名称/批次</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不合格情形</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标识隔离</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退场日期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是否已使用</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追溯部位</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处理结论</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（示例）某批次防水卷材</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拉力不合格</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已挂红牌隔离</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2026-05-08</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否</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已退场退换</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注：已用于工程的不合格材料，须按第25章质量问题程序处理，必要时经设计确认；处置记录闭环归档。</w:t>
      </w:r>
    </w:p>
    <w:p>
      <w:pPr>
        <w:pStyle w:val="Heading2"/>
        <w:pageBreakBefore/>
      </w:pPr>
      <w:bookmarkStart w:id="33" w:name="_LarkToc00033"/>
      <w:r>
        <w:t>第27章　机械设备管理：大型机械的安全与效率</w:t>
      </w:r>
      <w:bookmarkEnd w:id="33"/>
    </w:p>
    <w:p>
      <w:pPr>
        <w:pStyle w:val="sec_head"/>
      </w:pPr>
      <w:r>
        <w:t>27.1　机械设备是工地的“重武器”</w:t>
      </w:r>
    </w:p>
    <w:p>
      <w:pPr>
        <w:spacing w:before="0" w:after="0" w:line="360" w:lineRule="auto"/>
        <w:ind w:firstLine="480"/>
        <w:jc w:val="both"/>
      </w:pPr>
      <w:r>
        <w:rPr>
          <w:rFonts w:ascii="Times New Roman" w:hAnsi="Times New Roman" w:eastAsia="宋体"/>
          <w:b w:val="0"/>
          <w:i w:val="0"/>
          <w:color w:val="000000"/>
          <w:sz w:val="24"/>
        </w:rPr>
        <w:t>毛泽东同志讲“武器是战争的重要因素，但不是决定的因素，决定的因素是人不是物”。塔吊、施工升降机、附着式升降脚手架这些大型机械，是工地的重武器：用好了抬进度，用不好就是重大风险源。机械管理要两手抓：一手抓安全（产权备案、安拆告知、检测验收、持证操作、安全装置），一手抓效率（合理配置、减少闲置、按台班核算）。机械事故大多不是机械本身坏了，而是“人没管到位、装置没验到、手续没办全”。</w:t>
      </w:r>
    </w:p>
    <w:p>
      <w:pPr>
        <w:pStyle w:val="sec_head"/>
      </w:pPr>
      <w:r>
        <w:t>27.2　机械配置与进退场计划</w:t>
      </w:r>
    </w:p>
    <w:p>
      <w:pPr>
        <w:spacing w:before="0" w:after="0" w:line="360" w:lineRule="auto"/>
        <w:ind w:firstLine="480"/>
        <w:jc w:val="both"/>
      </w:pPr>
      <w:r>
        <w:rPr>
          <w:rFonts w:ascii="Times New Roman" w:hAnsi="Times New Roman" w:eastAsia="宋体"/>
          <w:b w:val="0"/>
          <w:i w:val="0"/>
          <w:color w:val="000000"/>
          <w:sz w:val="24"/>
        </w:rPr>
        <w:t>开工前根据施组和工期编制机械配置计划：塔吊位置与覆盖半径、施工升降机布置、混凝土输送泵、钢筋加工机械、中小型机具，与进度节点匹配。机械进退场实行计划管理：进场前核验手续和状态，退场时清点、结算、清理；避免设备长期闲置占场地、租费照付。自有设备算折旧，租赁设备算台班，闲置就是净损失。</w:t>
      </w:r>
    </w:p>
    <w:p>
      <w:pPr>
        <w:pStyle w:val="sec_head"/>
      </w:pPr>
      <w:r>
        <w:t>27.3　大型机械产权备案、安拆告知与检测验收</w:t>
      </w:r>
    </w:p>
    <w:p>
      <w:pPr>
        <w:spacing w:before="0" w:after="0" w:line="360" w:lineRule="auto"/>
        <w:ind w:firstLine="480"/>
        <w:jc w:val="both"/>
      </w:pPr>
      <w:r>
        <w:rPr>
          <w:rFonts w:ascii="Times New Roman" w:hAnsi="Times New Roman" w:eastAsia="宋体"/>
          <w:b w:val="0"/>
          <w:i w:val="0"/>
          <w:color w:val="000000"/>
          <w:sz w:val="24"/>
        </w:rPr>
        <w:t>塔式起重机、施工升降机等建筑起重机械，安装前须办理产权备案（登记），由具备相应资质的单位安装、拆卸，安拆前向主管部门告知；安装完毕经有资质的检验检测机构监督检验合格、组织验收并办理使用登记后，方可投入使用。附着式升降脚手架同样须编制专项方案、按规定验收。任何一台大型机械，“备案—告知—检测—验收—登记”五个手续不全，不得使用。</w:t>
      </w:r>
    </w:p>
    <w:p>
      <w:pPr>
        <w:spacing w:before="20" w:after="80" w:line="288" w:lineRule="auto"/>
        <w:ind w:firstLine="0"/>
        <w:jc w:val="left"/>
      </w:pPr>
      <w:r>
        <w:rPr>
          <w:rFonts w:ascii="Times New Roman" w:hAnsi="Times New Roman" w:eastAsia="宋体"/>
          <w:b w:val="0"/>
          <w:i w:val="0"/>
          <w:color w:val="404040"/>
          <w:sz w:val="18"/>
        </w:rPr>
        <w:t>依据：《建设工程安全生产管理条例》（国务院令第393号）；《建筑起重机械安全监督管理规定》（建设部令第166号）；《塔式起重机安全规程》GB 5144、《施工升降机安全规程》GB 10055、《建筑机械使用安全技术规程》JGJ 33（以现行有效版本为准）。</w:t>
      </w:r>
    </w:p>
    <w:p>
      <w:pPr>
        <w:pStyle w:val="sec_head"/>
      </w:pPr>
      <w:r>
        <w:t>27.4　特种作业人员持证上岗</w:t>
      </w:r>
    </w:p>
    <w:p>
      <w:pPr>
        <w:spacing w:before="0" w:after="0" w:line="360" w:lineRule="auto"/>
        <w:ind w:firstLine="480"/>
        <w:jc w:val="both"/>
      </w:pPr>
      <w:r>
        <w:rPr>
          <w:rFonts w:ascii="Times New Roman" w:hAnsi="Times New Roman" w:eastAsia="宋体"/>
          <w:b w:val="0"/>
          <w:i w:val="0"/>
          <w:color w:val="000000"/>
          <w:sz w:val="24"/>
        </w:rPr>
        <w:t>塔吊司机、信号司索工、施工升降机司机、电工、焊工、架子工等特种作业人员，必须经专门培训、取得相应资格证书后上岗，证书在有效期内。人证对照、人岗匹配，严禁无证操作、证书过期、人证不符。信号指挥是起重作业的关键岗，指挥失误是塔吊事故的主要原因之一。</w:t>
      </w:r>
    </w:p>
    <w:p>
      <w:pPr>
        <w:pStyle w:val="sec_head"/>
      </w:pPr>
      <w:r>
        <w:t>27.5　日常检查维保与台班管理</w:t>
      </w:r>
    </w:p>
    <w:p>
      <w:pPr>
        <w:spacing w:before="0" w:after="0" w:line="360" w:lineRule="auto"/>
        <w:ind w:firstLine="480"/>
        <w:jc w:val="both"/>
      </w:pPr>
      <w:r>
        <w:rPr>
          <w:rFonts w:ascii="Times New Roman" w:hAnsi="Times New Roman" w:eastAsia="宋体"/>
          <w:b w:val="0"/>
          <w:i w:val="0"/>
          <w:color w:val="000000"/>
          <w:sz w:val="24"/>
        </w:rPr>
        <w:t>大型机械实行“班前点检、定期维保、带病停用”。每班作业前检查力矩限制器、行程限位、保险装置、钢丝绳、吊钩、制动器、基础和附着；发现问题停机报修，严禁带病作业。运行按台班（或按日）记录，租赁机械的台班由双方签字确认，作为结算依据；维保保养留存记录。</w:t>
      </w:r>
    </w:p>
    <w:p>
      <w:pPr>
        <w:pStyle w:val="sec_head"/>
      </w:pPr>
      <w:r>
        <w:t>27.6　租赁机械合同与安全管理协议</w:t>
      </w:r>
    </w:p>
    <w:p>
      <w:pPr>
        <w:spacing w:before="0" w:after="0" w:line="360" w:lineRule="auto"/>
        <w:ind w:firstLine="480"/>
        <w:jc w:val="both"/>
      </w:pPr>
      <w:r>
        <w:rPr>
          <w:rFonts w:ascii="Times New Roman" w:hAnsi="Times New Roman" w:eastAsia="宋体"/>
          <w:b w:val="0"/>
          <w:i w:val="0"/>
          <w:color w:val="000000"/>
          <w:sz w:val="24"/>
        </w:rPr>
        <w:t>租赁机械不仅是租设备，更是把安全主体责任一并引进来。租赁合同及安全管理协议须明确：设备完好状态、随机资料、安拆责任、维保责任、操作人员配备、安全装置、事故责任划分、违约与退场条件。租赁单位必须具备相应资质和安全生产许可，严禁租用来路不明、超过使用年限、手续不全的机械。</w:t>
      </w:r>
    </w:p>
    <w:p>
      <w:pPr>
        <w:pStyle w:val="sec_head"/>
      </w:pPr>
      <w:r>
        <w:t>27.7　安全装置、限位与保险</w:t>
      </w:r>
    </w:p>
    <w:p>
      <w:pPr>
        <w:spacing w:before="0" w:after="0" w:line="360" w:lineRule="auto"/>
        <w:ind w:firstLine="480"/>
        <w:jc w:val="both"/>
      </w:pPr>
      <w:r>
        <w:rPr>
          <w:rFonts w:ascii="Times New Roman" w:hAnsi="Times New Roman" w:eastAsia="宋体"/>
          <w:b w:val="0"/>
          <w:i w:val="0"/>
          <w:color w:val="000000"/>
          <w:sz w:val="24"/>
        </w:rPr>
        <w:t>塔吊的起重力矩限制器、起重量限制器、行程限位、幅度限位、回转限位，施工升降机的防坠安全器、上下限位、门联锁、超载保护，是保命装置，必须齐全有效，严禁短接、屏蔽、拆除或“调试后不复原”。每次安装、附着、大风暴雨后，要专项检查安全装置并记录确认。</w:t>
      </w:r>
    </w:p>
    <w:p>
      <w:pPr>
        <w:pStyle w:val="sec_head"/>
      </w:pPr>
      <w:r>
        <w:t>27.8　起重吊装作业条件与“十不吊”（红线）</w:t>
      </w:r>
    </w:p>
    <w:p>
      <w:pPr>
        <w:spacing w:before="0" w:after="0" w:line="360" w:lineRule="auto"/>
        <w:ind w:firstLine="480"/>
        <w:jc w:val="both"/>
      </w:pPr>
      <w:r>
        <w:rPr>
          <w:rFonts w:ascii="Times New Roman" w:hAnsi="Times New Roman" w:eastAsia="宋体"/>
          <w:b w:val="0"/>
          <w:i w:val="0"/>
          <w:color w:val="000000"/>
          <w:sz w:val="24"/>
        </w:rPr>
        <w:t>起重吊装作业前办理作业审批，确认作业条件：吊装方案已交底、司索指挥持证、吊索具合格、警戒区已设、气象条件允许。严格执行“十不吊”：指挥信号不明不吊、斜拉斜挂不吊、重量不明或超负荷不吊、散物捆扎不牢不吊、吊物上有人不吊、埋在地下物不吊、安全装置失灵不吊、光线阴暗看不清不吊、棱刃物未垫护不吊、六级以上强风不吊。违章指挥，司机有权拒绝。</w:t>
      </w:r>
    </w:p>
    <w:p>
      <w:pPr>
        <w:pStyle w:val="attach_div"/>
        <w:pageBreakBefore/>
        <w:jc w:val="center"/>
      </w:pPr>
      <w:r>
        <w:t>第27章　章末附件</w:t>
      </w:r>
    </w:p>
    <w:p>
      <w:pPr>
        <w:spacing w:before="0" w:after="0" w:line="360" w:lineRule="auto"/>
        <w:ind w:firstLine="480"/>
        <w:jc w:val="both"/>
      </w:pPr>
      <w:r>
        <w:rPr>
          <w:rFonts w:ascii="Times New Roman" w:hAnsi="Times New Roman" w:eastAsia="宋体"/>
          <w:b w:val="0"/>
          <w:i w:val="0"/>
          <w:color w:val="000000"/>
          <w:sz w:val="24"/>
        </w:rPr>
        <w:t>本页之后为《机械设备管理：大型机械的安全与效率》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87" w:name="_LarkToc00187"/>
      <w:r>
        <w:t>附件27-1　机械设备配置计划与进退场台账</w:t>
      </w:r>
      <w:bookmarkEnd w:id="187"/>
    </w:p>
    <w:p>
      <w:pPr>
        <w:spacing w:before="0" w:after="40" w:line="312" w:lineRule="auto"/>
        <w:ind w:firstLine="0"/>
        <w:jc w:val="left"/>
      </w:pPr>
      <w:r>
        <w:rPr>
          <w:rFonts w:ascii="Times New Roman" w:hAnsi="Times New Roman" w:eastAsia="宋体"/>
          <w:b w:val="0"/>
          <w:i w:val="0"/>
          <w:color w:val="595959"/>
          <w:sz w:val="18"/>
        </w:rPr>
        <w:t>【归属】第27章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【用途】按施组配置机械，进退场登记并与进度节点匹配；租赁机械按台班结算，减少闲置。</w:t>
      </w:r>
    </w:p>
    <w:p>
      <w:pPr>
        <w:keepNext/>
        <w:spacing w:before="80" w:after="40" w:line="288" w:lineRule="auto"/>
        <w:ind w:firstLine="0"/>
        <w:jc w:val="center"/>
      </w:pPr>
      <w:r>
        <w:rPr>
          <w:rFonts w:ascii="Times New Roman" w:hAnsi="Times New Roman" w:eastAsia="黑体"/>
          <w:b/>
          <w:i w:val="0"/>
          <w:color w:val="000000"/>
          <w:sz w:val="21"/>
        </w:rPr>
        <w:t>表27-1　机械设备配置与进退场台账</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机械名称/规格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自有/租赁</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进场日期</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退场日期</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用途/部位</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状态</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（示例）QTZ80塔吊</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租赁</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1台</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2026-03-01</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主体结构</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使用中</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188" w:name="_LarkToc00188"/>
      <w:r>
        <w:t>附件27-2　大型机械（塔吊/施工升降机/附着式升降脚手架）产权备案、安拆告知与检测验收表</w:t>
      </w:r>
      <w:bookmarkEnd w:id="188"/>
    </w:p>
    <w:p>
      <w:pPr>
        <w:spacing w:before="0" w:after="40" w:line="312" w:lineRule="auto"/>
        <w:ind w:firstLine="0"/>
        <w:jc w:val="left"/>
      </w:pPr>
      <w:r>
        <w:rPr>
          <w:rFonts w:ascii="Times New Roman" w:hAnsi="Times New Roman" w:eastAsia="宋体"/>
          <w:b w:val="0"/>
          <w:i w:val="0"/>
          <w:color w:val="595959"/>
          <w:sz w:val="18"/>
        </w:rPr>
        <w:t>【归属】第27章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【用途】塔吊、施工升降机、附着式升降脚手架逐台登记“备案—告知—检测—验收—登记”手续，手续不全不得使用。</w:t>
      </w:r>
    </w:p>
    <w:p>
      <w:pPr>
        <w:keepNext/>
        <w:spacing w:before="80" w:after="40" w:line="288" w:lineRule="auto"/>
        <w:ind w:firstLine="0"/>
        <w:jc w:val="center"/>
      </w:pPr>
      <w:r>
        <w:rPr>
          <w:rFonts w:ascii="Times New Roman" w:hAnsi="Times New Roman" w:eastAsia="黑体"/>
          <w:b/>
          <w:i w:val="0"/>
          <w:color w:val="000000"/>
          <w:sz w:val="21"/>
        </w:rPr>
        <w:t>表27-2　大型机械手续核查表</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机械名称/编号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产权备案</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安拆单位资质</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安拆告知</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检测报告</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联合验收</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使用登记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（示例）塔吊TD-01</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已备案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符合</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已告知</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已登记</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可用</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□符合□否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□可用□停用</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依据：建设部令第166号《建筑起重机械安全监督管理规定》；GB 5144、GB 10055、JGJ 33等，以现行有效版本为准；超期未检、检测不合格的机械一律停用。</w:t>
      </w:r>
    </w:p>
    <w:p>
      <w:pPr>
        <w:pStyle w:val="Heading3"/>
        <w:pageBreakBefore/>
        <w:spacing w:before="120"/>
      </w:pPr>
      <w:bookmarkStart w:id="189" w:name="_LarkToc00189"/>
      <w:r>
        <w:t>附件27-3　特种设备与特种作业人员持证台账</w:t>
      </w:r>
      <w:bookmarkEnd w:id="189"/>
    </w:p>
    <w:p>
      <w:pPr>
        <w:spacing w:before="0" w:after="40" w:line="312" w:lineRule="auto"/>
        <w:ind w:firstLine="0"/>
        <w:jc w:val="left"/>
      </w:pPr>
      <w:r>
        <w:rPr>
          <w:rFonts w:ascii="Times New Roman" w:hAnsi="Times New Roman" w:eastAsia="宋体"/>
          <w:b w:val="0"/>
          <w:i w:val="0"/>
          <w:color w:val="595959"/>
          <w:sz w:val="18"/>
        </w:rPr>
        <w:t>【归属】第27章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【用途】司机、司索指挥、电工、焊工、架子工等逐人登记证书，人证对照，过期不得上岗。</w:t>
      </w:r>
    </w:p>
    <w:p>
      <w:pPr>
        <w:keepNext/>
        <w:spacing w:before="80" w:after="40" w:line="288" w:lineRule="auto"/>
        <w:ind w:firstLine="0"/>
        <w:jc w:val="center"/>
      </w:pPr>
      <w:r>
        <w:rPr>
          <w:rFonts w:ascii="Times New Roman" w:hAnsi="Times New Roman" w:eastAsia="黑体"/>
          <w:b/>
          <w:i w:val="0"/>
          <w:color w:val="000000"/>
          <w:sz w:val="21"/>
        </w:rPr>
        <w:t>表27-3　特种作业人员持证台账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姓名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工种</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证书编号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发证机关</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有效期至</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本人签字</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（示例）张某</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塔吊司机</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T-XXXX</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主管部门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2027-05-01</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注：证书编号等以实际证件为准，示例仅为格式；人证不符、证书过期立即停止其作业。</w:t>
      </w:r>
    </w:p>
    <w:p>
      <w:pPr>
        <w:pStyle w:val="Heading3"/>
        <w:pageBreakBefore/>
        <w:spacing w:before="120"/>
      </w:pPr>
      <w:bookmarkStart w:id="190" w:name="_LarkToc00190"/>
      <w:r>
        <w:t>附件27-4　机械设备日常点检、维保与运行（台班）记录</w:t>
      </w:r>
      <w:bookmarkEnd w:id="190"/>
    </w:p>
    <w:p>
      <w:pPr>
        <w:spacing w:before="0" w:after="40" w:line="312" w:lineRule="auto"/>
        <w:ind w:firstLine="0"/>
        <w:jc w:val="left"/>
      </w:pPr>
      <w:r>
        <w:rPr>
          <w:rFonts w:ascii="Times New Roman" w:hAnsi="Times New Roman" w:eastAsia="宋体"/>
          <w:b w:val="0"/>
          <w:i w:val="0"/>
          <w:color w:val="595959"/>
          <w:sz w:val="18"/>
        </w:rPr>
        <w:t>【归属】第27章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【用途】班前点检、定期维保、台班签字；发现问题停机报修，严禁带病作业。</w:t>
      </w:r>
    </w:p>
    <w:p>
      <w:pPr>
        <w:keepNext/>
        <w:spacing w:before="80" w:after="40" w:line="288" w:lineRule="auto"/>
        <w:ind w:firstLine="0"/>
        <w:jc w:val="center"/>
      </w:pPr>
      <w:r>
        <w:rPr>
          <w:rFonts w:ascii="Times New Roman" w:hAnsi="Times New Roman" w:eastAsia="黑体"/>
          <w:b/>
          <w:i w:val="0"/>
          <w:color w:val="000000"/>
          <w:sz w:val="21"/>
        </w:rPr>
        <w:t>表27-4-1　机械班前点检与维保记录</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机械名称</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点检项目（限位/制动/钢丝绳/基础附着）</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点检结果</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维保内容</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操作人/机长</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□齐全有效 □异常（停机报修）</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□合□停</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表27-4-2　机械运行（台班）记录</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机械名称</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工作内容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台班/小时</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租赁单价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费用</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司机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双方签字</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（示例）2026-05-06</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塔吊TD-01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钢筋及模板吊运</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1.00台班</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1,200.00元</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1,200.00元</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张某</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已签</w:t>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注：台班数量、金额保留两位小数；租赁机械台班须出租方与项目部双方签字确认，作为结算依据。示例行用后删除。</w:t>
      </w:r>
    </w:p>
    <w:p>
      <w:pPr>
        <w:pStyle w:val="Heading3"/>
        <w:pageBreakBefore/>
        <w:spacing w:before="120"/>
      </w:pPr>
      <w:bookmarkStart w:id="191" w:name="_LarkToc00191"/>
      <w:r>
        <w:t>附件27-5　租赁机械合同与安全管理协议核查表</w:t>
      </w:r>
      <w:bookmarkEnd w:id="191"/>
    </w:p>
    <w:p>
      <w:pPr>
        <w:spacing w:before="0" w:after="40" w:line="312" w:lineRule="auto"/>
        <w:ind w:firstLine="0"/>
        <w:jc w:val="left"/>
      </w:pPr>
      <w:r>
        <w:rPr>
          <w:rFonts w:ascii="Times New Roman" w:hAnsi="Times New Roman" w:eastAsia="宋体"/>
          <w:b w:val="0"/>
          <w:i w:val="0"/>
          <w:color w:val="595959"/>
          <w:sz w:val="18"/>
        </w:rPr>
        <w:t>【归属】第27章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【用途】租赁机械进场前核查合同与安全协议，明确安拆、维保、操作人员、事故责任。</w:t>
      </w:r>
    </w:p>
    <w:p>
      <w:pPr>
        <w:keepNext/>
        <w:spacing w:before="80" w:after="40" w:line="288" w:lineRule="auto"/>
        <w:ind w:firstLine="0"/>
        <w:jc w:val="center"/>
      </w:pPr>
      <w:r>
        <w:rPr>
          <w:rFonts w:ascii="Times New Roman" w:hAnsi="Times New Roman" w:eastAsia="黑体"/>
          <w:b/>
          <w:i w:val="0"/>
          <w:color w:val="000000"/>
          <w:sz w:val="21"/>
        </w:rPr>
        <w:t>表27-5　租赁机械合同与安全协议核查表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核查项</w:t>
            </w:r>
          </w:p>
        </w:tc>
        <w:tc>
          <w:tcPr>
            <w:tcW w:type="dxa" w:w="30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是否符合</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出租方资质</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营业执照、设备产权、安拆资质、安许</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设备状态</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未超年限、无事故、手续齐全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安拆责任</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由有资质单位安拆并对安全负责</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维保责任</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定期维保、随机维修的责任方</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操作人员</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司机/司索由谁配备、持证要求</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费用结算</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台班单价、计费方式、进退场费</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事故责任</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事故责任划分、保险约定</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违约退场</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故障停机、违章、退场条件</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192" w:name="_LarkToc00192"/>
      <w:r>
        <w:t>附件27-6　机械安全装置、限位与保险检查确认表</w:t>
      </w:r>
      <w:bookmarkEnd w:id="192"/>
    </w:p>
    <w:p>
      <w:pPr>
        <w:spacing w:before="0" w:after="40" w:line="312" w:lineRule="auto"/>
        <w:ind w:firstLine="0"/>
        <w:jc w:val="left"/>
      </w:pPr>
      <w:r>
        <w:rPr>
          <w:rFonts w:ascii="Times New Roman" w:hAnsi="Times New Roman" w:eastAsia="宋体"/>
          <w:b w:val="0"/>
          <w:i w:val="0"/>
          <w:color w:val="595959"/>
          <w:sz w:val="18"/>
        </w:rPr>
        <w:t>【归属】第27章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【用途】每次安装、附着、大风暴雨后专项检查安全装置，严禁短接、屏蔽、拆除。</w:t>
      </w:r>
    </w:p>
    <w:p>
      <w:pPr>
        <w:keepNext/>
        <w:spacing w:before="80" w:after="40" w:line="288" w:lineRule="auto"/>
        <w:ind w:firstLine="0"/>
        <w:jc w:val="center"/>
      </w:pPr>
      <w:r>
        <w:rPr>
          <w:rFonts w:ascii="Times New Roman" w:hAnsi="Times New Roman" w:eastAsia="黑体"/>
          <w:b/>
          <w:i w:val="0"/>
          <w:color w:val="000000"/>
          <w:sz w:val="21"/>
        </w:rPr>
        <w:t>表27-6　安全装置限位保险检查确认表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机械</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检查项目</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检查结果</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确认人</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塔吊</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力矩限制器、起重量限制器</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灵敏可靠</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□合格□否</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塔吊</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行程/幅度/回转限位</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动作准确</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□合格□否</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塔吊</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钢丝绳、吊钩保险、制动器</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无断丝超标、保险有效</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□合格□否</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施工升降机</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防坠安全器</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在标定期内</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□合格□否</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施工升降机</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上下限位、门联锁、超载保护</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齐全有效</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□合格□否</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附着</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基础、附着件、连接螺栓</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无松动、无锈蚀超标</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□合格□否</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注：发现任一安全装置失效，立即停用、报修并复查合格后方可使用；防坠安全器须按规定定期标定。</w:t>
      </w:r>
    </w:p>
    <w:p>
      <w:pPr>
        <w:pStyle w:val="Heading3"/>
        <w:pageBreakBefore/>
        <w:spacing w:before="120"/>
      </w:pPr>
      <w:bookmarkStart w:id="193" w:name="_LarkToc00193"/>
      <w:r>
        <w:t>附件27-7　起重吊装作业审批与安全条件确认表（含“十不吊”）</w:t>
      </w:r>
      <w:bookmarkEnd w:id="193"/>
    </w:p>
    <w:p>
      <w:pPr>
        <w:spacing w:before="0" w:after="40" w:line="312" w:lineRule="auto"/>
        <w:ind w:firstLine="0"/>
        <w:jc w:val="left"/>
      </w:pPr>
      <w:r>
        <w:rPr>
          <w:rFonts w:ascii="Times New Roman" w:hAnsi="Times New Roman" w:eastAsia="宋体"/>
          <w:b w:val="0"/>
          <w:i w:val="0"/>
          <w:color w:val="595959"/>
          <w:sz w:val="18"/>
        </w:rPr>
        <w:t>【归属】第27章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【用途】每次吊装作业前审批条件并对照“十不吊”确认；违章指挥司机有权拒绝。</w:t>
      </w:r>
    </w:p>
    <w:p>
      <w:pPr>
        <w:keepNext/>
        <w:spacing w:before="80" w:after="40" w:line="288" w:lineRule="auto"/>
        <w:ind w:firstLine="0"/>
        <w:jc w:val="center"/>
      </w:pPr>
      <w:r>
        <w:rPr>
          <w:rFonts w:ascii="Times New Roman" w:hAnsi="Times New Roman" w:eastAsia="黑体"/>
          <w:b/>
          <w:i w:val="0"/>
          <w:color w:val="000000"/>
          <w:sz w:val="21"/>
        </w:rPr>
        <w:t>表27-7　起重吊装作业审批与“十不吊”确认表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确认项</w:t>
            </w:r>
          </w:p>
        </w:tc>
        <w:tc>
          <w:tcPr>
            <w:tcW w:type="dxa" w:w="408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是否确认</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吊装方案与交底</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方案已批、班组已交底</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人员持证</w:t>
            </w:r>
          </w:p>
        </w:tc>
        <w:tc>
          <w:tcPr>
            <w:tcW w:type="dxa" w:w="408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司机、司索、指挥持证</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吊索具</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合格、无超标磨损</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警戒区</w:t>
            </w:r>
          </w:p>
        </w:tc>
        <w:tc>
          <w:tcPr>
            <w:tcW w:type="dxa" w:w="408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已设警戒、专人监护</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气象条件</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风力≤六级、视线良好</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十不吊</w:t>
            </w:r>
          </w:p>
        </w:tc>
        <w:tc>
          <w:tcPr>
            <w:tcW w:type="dxa" w:w="408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信号不明/斜拉/超载/捆扎不牢/吊物站人/埋置物/装置失灵/光线差/未垫护/强风，逐项排查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□逐项确认</w:t>
            </w:r>
          </w:p>
        </w:tc>
      </w:tr>
    </w:tbl>
    <w:p>
      <w:pPr>
        <w:spacing w:before="20" w:after="80" w:line="288" w:lineRule="auto"/>
        <w:ind w:firstLine="0"/>
        <w:jc w:val="left"/>
      </w:pPr>
      <w:r>
        <w:rPr>
          <w:rFonts w:ascii="Times New Roman" w:hAnsi="Times New Roman" w:eastAsia="宋体"/>
          <w:b w:val="0"/>
          <w:i w:val="0"/>
          <w:color w:val="404040"/>
          <w:sz w:val="18"/>
        </w:rPr>
        <w:t>注：“十不吊”为起重作业通用禁令；作业审批人、指挥、司机三方签字确认后方可起吊。</w:t>
      </w:r>
    </w:p>
    <w:p>
      <w:pPr>
        <w:pStyle w:val="Heading2"/>
        <w:pageBreakBefore/>
      </w:pPr>
      <w:bookmarkStart w:id="34" w:name="_LarkToc00034"/>
      <w:r>
        <w:t>第28章　分包与劳务管理：合规用工、专业协同</w:t>
      </w:r>
      <w:bookmarkEnd w:id="34"/>
    </w:p>
    <w:p>
      <w:pPr>
        <w:pStyle w:val="sec_head"/>
      </w:pPr>
      <w:r>
        <w:t>28.1　分包用工是“统一战线”，但底线是合规</w:t>
      </w:r>
    </w:p>
    <w:p>
      <w:pPr>
        <w:spacing w:before="0" w:after="0" w:line="360" w:lineRule="auto"/>
        <w:ind w:firstLine="480"/>
        <w:jc w:val="both"/>
      </w:pPr>
      <w:r>
        <w:rPr>
          <w:rFonts w:ascii="Times New Roman" w:hAnsi="Times New Roman" w:eastAsia="宋体"/>
          <w:b w:val="0"/>
          <w:i w:val="0"/>
          <w:color w:val="000000"/>
          <w:sz w:val="24"/>
        </w:rPr>
        <w:t>毛泽东同志讲“团结一切可以团结的力量”。工程施工不可能全靠自有队伍，专业分包、劳务分包是项目组织生产的重要力量。用好分包，专业的人干专业的事；管不好分包，质量、安全、工资、诉讼全部找上门。统一战线的前提是独立自主：分包可以用，但项目的人员、技术、质量、安全、资金必须由总包统一管理，绝不能以包代管、包而不管，更不能转包、违法分包、挂靠。</w:t>
      </w:r>
    </w:p>
    <w:p>
      <w:pPr>
        <w:pStyle w:val="sec_head"/>
      </w:pPr>
      <w:r>
        <w:t>28.2　分包合规底线（与第8、14章衔接）</w:t>
      </w:r>
    </w:p>
    <w:p>
      <w:pPr>
        <w:spacing w:before="0" w:after="0" w:line="360" w:lineRule="auto"/>
        <w:ind w:firstLine="480"/>
        <w:jc w:val="both"/>
      </w:pPr>
      <w:r>
        <w:rPr>
          <w:rFonts w:ascii="Times New Roman" w:hAnsi="Times New Roman" w:eastAsia="宋体"/>
          <w:b w:val="0"/>
          <w:i w:val="0"/>
          <w:color w:val="000000"/>
          <w:sz w:val="24"/>
        </w:rPr>
        <w:t>三条高压线碰不得：一是转包——承包后不设项目管理机构、不派驻人员、不组织管理；二是违法分包——把主体结构分包、分包给无资质单位、分包单位再分包；三是挂靠——项目负责人、技术、核算、质量、安全管理人员不是本单位人员。凡命中上述情形，合同可能无效、面临没收违法所得和罚款、资质受限直至吊证。分包选择、合同签订、现场管理、结算付款，每个环节都要留痕自证“五统一”管理。</w:t>
      </w:r>
    </w:p>
    <w:p>
      <w:pPr>
        <w:spacing w:before="20" w:after="80" w:line="288" w:lineRule="auto"/>
        <w:ind w:firstLine="0"/>
        <w:jc w:val="left"/>
      </w:pPr>
      <w:r>
        <w:rPr>
          <w:rFonts w:ascii="Times New Roman" w:hAnsi="Times New Roman" w:eastAsia="宋体"/>
          <w:b w:val="0"/>
          <w:i w:val="0"/>
          <w:color w:val="404040"/>
          <w:sz w:val="18"/>
        </w:rPr>
        <w:t>依据：《中华人民共和国建筑法》（2019年修正）第26条、第28条；《建设工程质量管理条例》（国务院令第714号）第78条；《房屋建筑和市政基础设施工程施工分包管理办法》（住建部令第47号）第13条视同转包、第14条违法分包、第15条视同挂靠。</w:t>
      </w:r>
    </w:p>
    <w:p>
      <w:pPr>
        <w:pStyle w:val="sec_head"/>
      </w:pPr>
      <w:r>
        <w:t>28.3　分包商资质准入</w:t>
      </w:r>
    </w:p>
    <w:p>
      <w:pPr>
        <w:spacing w:before="0" w:after="0" w:line="360" w:lineRule="auto"/>
        <w:ind w:firstLine="480"/>
        <w:jc w:val="both"/>
      </w:pPr>
      <w:r>
        <w:rPr>
          <w:rFonts w:ascii="Times New Roman" w:hAnsi="Times New Roman" w:eastAsia="宋体"/>
          <w:b w:val="0"/>
          <w:i w:val="0"/>
          <w:color w:val="000000"/>
          <w:sz w:val="24"/>
        </w:rPr>
        <w:t>分包单位进场前审查：营业执照、资质证书、安全生产许可证、类似业绩、拟派项目管理人员、特种作业人员、信用状况。专业分包须具备相应专业承包资质，劳务分包须具备施工劳务资质或按现行规定用工。审查合格并经审批后方可签订分包合同，严禁“先进场干活、后补手续”。</w:t>
      </w:r>
    </w:p>
    <w:p>
      <w:pPr>
        <w:pStyle w:val="sec_head"/>
      </w:pPr>
      <w:r>
        <w:t>28.4　分包合同与安全生产管理协议</w:t>
      </w:r>
    </w:p>
    <w:p>
      <w:pPr>
        <w:spacing w:before="0" w:after="0" w:line="360" w:lineRule="auto"/>
        <w:ind w:firstLine="480"/>
        <w:jc w:val="both"/>
      </w:pPr>
      <w:r>
        <w:rPr>
          <w:rFonts w:ascii="Times New Roman" w:hAnsi="Times New Roman" w:eastAsia="宋体"/>
          <w:b w:val="0"/>
          <w:i w:val="0"/>
          <w:color w:val="000000"/>
          <w:sz w:val="24"/>
        </w:rPr>
        <w:t>分包必须签订书面合同，明确分包范围、价款、工期、质量标准、安全责任、结算与付款、双方义务、违约条款；同时签订安全生产管理协议，明确总包统一协调管理、分包自带安全防护和劳保、服从现场制度、事故报告与责任划分。合同价、付款比例不得明显低于成本，防止分包低价中标后靠偷工减料、拖欠工人工资找补。</w:t>
      </w:r>
    </w:p>
    <w:p>
      <w:pPr>
        <w:pStyle w:val="sec_head"/>
      </w:pPr>
      <w:r>
        <w:t>28.5　分包商履约考核</w:t>
      </w:r>
    </w:p>
    <w:p>
      <w:pPr>
        <w:spacing w:before="0" w:after="0" w:line="360" w:lineRule="auto"/>
        <w:ind w:firstLine="480"/>
        <w:jc w:val="both"/>
      </w:pPr>
      <w:r>
        <w:rPr>
          <w:rFonts w:ascii="Times New Roman" w:hAnsi="Times New Roman" w:eastAsia="宋体"/>
          <w:b w:val="0"/>
          <w:i w:val="0"/>
          <w:color w:val="000000"/>
          <w:sz w:val="24"/>
        </w:rPr>
        <w:t>对分包商实行过程考核与年度评价：进度、质量、安全、用工管理、配合度五个维度打分，与结算、是否续签挂钩。考核不合格的限期整改，严重违约的清退出场并纳入黑名单。“只用不考、只考不用”，分包队伍越换越差。</w:t>
      </w:r>
    </w:p>
    <w:p>
      <w:pPr>
        <w:pStyle w:val="sec_head"/>
      </w:pPr>
      <w:r>
        <w:t>28.6　劳务实名制与工资支付</w:t>
      </w:r>
    </w:p>
    <w:p>
      <w:pPr>
        <w:spacing w:before="0" w:after="0" w:line="360" w:lineRule="auto"/>
        <w:ind w:firstLine="480"/>
        <w:jc w:val="both"/>
      </w:pPr>
      <w:r>
        <w:rPr>
          <w:rFonts w:ascii="Times New Roman" w:hAnsi="Times New Roman" w:eastAsia="宋体"/>
          <w:b w:val="0"/>
          <w:i w:val="0"/>
          <w:color w:val="000000"/>
          <w:sz w:val="24"/>
        </w:rPr>
        <w:t>劳务用工必须实名制：进场登记花名册、身份证件、劳动合同、考勤记录，实行务工人员进退场登记和考勤。总承包单位开立农民工工资专用账户，实行总包代发工资，工资保证金按合同额1%—3%存储（可用银行保函替代），现场公示维权信息。未实名、未专户、未代发、拖欠工资的，可能被责令停工、罚款，并被限制承接新工程。</w:t>
      </w:r>
    </w:p>
    <w:p>
      <w:pPr>
        <w:spacing w:before="20" w:after="80" w:line="288" w:lineRule="auto"/>
        <w:ind w:firstLine="0"/>
        <w:jc w:val="left"/>
      </w:pPr>
      <w:r>
        <w:rPr>
          <w:rFonts w:ascii="Times New Roman" w:hAnsi="Times New Roman" w:eastAsia="宋体"/>
          <w:b w:val="0"/>
          <w:i w:val="0"/>
          <w:color w:val="404040"/>
          <w:sz w:val="18"/>
        </w:rPr>
        <w:t>依据：《保障农民工工资支付条例》（国务院令第724号）第26条专户、第31条总包代发、第33条专户资金不得查封；《工程建设领域农民工工资保证金规定》（人社部发〔2021〕65号）按合同额原则上不低于1%、不超过3%，总承包单位为唯一存储主体，可用银行保函替代。</w:t>
      </w:r>
    </w:p>
    <w:p>
      <w:pPr>
        <w:pStyle w:val="sec_head"/>
      </w:pPr>
      <w:r>
        <w:t>28.7　分包工程量确认与结算付款</w:t>
      </w:r>
    </w:p>
    <w:p>
      <w:pPr>
        <w:spacing w:before="0" w:after="0" w:line="360" w:lineRule="auto"/>
        <w:ind w:firstLine="480"/>
        <w:jc w:val="both"/>
      </w:pPr>
      <w:r>
        <w:rPr>
          <w:rFonts w:ascii="Times New Roman" w:hAnsi="Times New Roman" w:eastAsia="宋体"/>
          <w:b w:val="0"/>
          <w:i w:val="0"/>
          <w:color w:val="000000"/>
          <w:sz w:val="24"/>
        </w:rPr>
        <w:t>分包结算坚持“先对账、后付款”：按合同和实际完成工程量计量，现场实际完成量由施工、质量、预算共同确认；扣回预付款、代发工资、扣款罚款、质保金后计算应付款。严禁超付、早付、无依据付款，更不能把工程款直接付给“包工头个人”。结算资料与实名制、工资发放对应，防止分包单位拿到钱不发工人工资。</w:t>
      </w:r>
    </w:p>
    <w:p>
      <w:pPr>
        <w:pStyle w:val="sec_head"/>
      </w:pPr>
      <w:r>
        <w:t>28.8　分包安全质量技术交底</w:t>
      </w:r>
    </w:p>
    <w:p>
      <w:pPr>
        <w:spacing w:before="0" w:after="0" w:line="360" w:lineRule="auto"/>
        <w:ind w:firstLine="480"/>
        <w:jc w:val="both"/>
      </w:pPr>
      <w:r>
        <w:rPr>
          <w:rFonts w:ascii="Times New Roman" w:hAnsi="Times New Roman" w:eastAsia="宋体"/>
          <w:b w:val="0"/>
          <w:i w:val="0"/>
          <w:color w:val="000000"/>
          <w:sz w:val="24"/>
        </w:rPr>
        <w:t>分包队伍进场先教育、交底后上岗：总包对分包进行安全、质量、技术交底，分包对其作业班组再交底；三级安全教育、分部分项交底、班前讲话齐全。分包作业纳入总包统一检查、统一验收，不因为是分包干的就降低标准。</w:t>
      </w:r>
    </w:p>
    <w:p>
      <w:pPr>
        <w:pStyle w:val="sec_head"/>
      </w:pPr>
      <w:r>
        <w:t>28.9　班组建设、技能培训与维权告知</w:t>
      </w:r>
    </w:p>
    <w:p>
      <w:pPr>
        <w:spacing w:before="0" w:after="0" w:line="360" w:lineRule="auto"/>
        <w:ind w:firstLine="480"/>
        <w:jc w:val="both"/>
      </w:pPr>
      <w:r>
        <w:rPr>
          <w:rFonts w:ascii="Times New Roman" w:hAnsi="Times New Roman" w:eastAsia="宋体"/>
          <w:b w:val="0"/>
          <w:i w:val="0"/>
          <w:color w:val="000000"/>
          <w:sz w:val="24"/>
        </w:rPr>
        <w:t>一线工人是利润和安全质量的最终落点。开展班组建设和技能培训，特殊工种持证、新上岗工人培训；现场维权信息告示牌明示投诉渠道、工资发放日期、劳资专管员联系方式。把工人的事当自己的事，队伍稳了、质量稳了、现场也就稳了。</w:t>
      </w:r>
    </w:p>
    <w:p>
      <w:pPr>
        <w:pStyle w:val="attach_div"/>
        <w:pageBreakBefore/>
        <w:jc w:val="center"/>
      </w:pPr>
      <w:r>
        <w:t>第28章　章末附件</w:t>
      </w:r>
    </w:p>
    <w:p>
      <w:pPr>
        <w:spacing w:before="0" w:after="0" w:line="360" w:lineRule="auto"/>
        <w:ind w:firstLine="480"/>
        <w:jc w:val="both"/>
      </w:pPr>
      <w:r>
        <w:rPr>
          <w:rFonts w:ascii="Times New Roman" w:hAnsi="Times New Roman" w:eastAsia="宋体"/>
          <w:b w:val="0"/>
          <w:i w:val="0"/>
          <w:color w:val="000000"/>
          <w:sz w:val="24"/>
        </w:rPr>
        <w:t>本页之后为《分包与劳务管理：合规用工、专业协同》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194" w:name="_LarkToc00194"/>
      <w:r>
        <w:t>附件28-1　专业/劳务分包商资质审查与准入登记表</w:t>
      </w:r>
      <w:bookmarkEnd w:id="194"/>
    </w:p>
    <w:p>
      <w:pPr>
        <w:spacing w:before="0" w:after="40" w:line="312" w:lineRule="auto"/>
        <w:ind w:firstLine="0"/>
        <w:jc w:val="left"/>
      </w:pPr>
      <w:r>
        <w:rPr>
          <w:rFonts w:ascii="Times New Roman" w:hAnsi="Times New Roman" w:eastAsia="宋体"/>
          <w:b w:val="0"/>
          <w:i w:val="0"/>
          <w:color w:val="595959"/>
          <w:sz w:val="18"/>
        </w:rPr>
        <w:t>【归属】第28章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【用途】分包单位进场前逐项审查资质证照，合格并经审批后方可签合同、进场。</w:t>
      </w:r>
    </w:p>
    <w:p>
      <w:pPr>
        <w:keepNext/>
        <w:spacing w:before="80" w:after="40" w:line="288" w:lineRule="auto"/>
        <w:ind w:firstLine="0"/>
        <w:jc w:val="center"/>
      </w:pPr>
      <w:r>
        <w:rPr>
          <w:rFonts w:ascii="Times New Roman" w:hAnsi="Times New Roman" w:eastAsia="黑体"/>
          <w:b/>
          <w:i w:val="0"/>
          <w:color w:val="000000"/>
          <w:sz w:val="21"/>
        </w:rPr>
        <w:t>表28-1　分包商资质审查与准入登记表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审查项</w:t>
            </w:r>
          </w:p>
        </w:tc>
        <w:tc>
          <w:tcPr>
            <w:tcW w:type="dxa" w:w="36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审查内容</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是否合格</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营业执照</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有效、经营范围相符</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资质证书</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与分包范围对应的专业承包/劳务资质</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安全生产许可证</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在有效期内</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类似业绩</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同类工程业绩、信誉</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管理人员</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项目负责人、技术、安全人员到岗情况</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特种作业</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特种作业人员持证情况</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信用状况</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失信、涉诉、欠薪记录</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准入结论</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是否同意引入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□同意□不同意</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注：审查证照留存复印件并加盖对方公章；主体结构不得分包，分包不得再分包。</w:t>
      </w:r>
    </w:p>
    <w:p>
      <w:pPr>
        <w:pStyle w:val="Heading3"/>
        <w:pageBreakBefore/>
        <w:spacing w:before="120"/>
      </w:pPr>
      <w:bookmarkStart w:id="195" w:name="_LarkToc00195"/>
      <w:r>
        <w:t>附件28-2　分包合同关键条款与安全生产管理协议核查表</w:t>
      </w:r>
      <w:bookmarkEnd w:id="195"/>
    </w:p>
    <w:p>
      <w:pPr>
        <w:spacing w:before="0" w:after="40" w:line="312" w:lineRule="auto"/>
        <w:ind w:firstLine="0"/>
        <w:jc w:val="left"/>
      </w:pPr>
      <w:r>
        <w:rPr>
          <w:rFonts w:ascii="Times New Roman" w:hAnsi="Times New Roman" w:eastAsia="宋体"/>
          <w:b w:val="0"/>
          <w:i w:val="0"/>
          <w:color w:val="595959"/>
          <w:sz w:val="18"/>
        </w:rPr>
        <w:t>【归属】第28章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【用途】分包合同与安全协议签订前逐条核查，防止范围不清、责任落空、低价风险。</w:t>
      </w:r>
    </w:p>
    <w:p>
      <w:pPr>
        <w:keepNext/>
        <w:spacing w:before="80" w:after="40" w:line="288" w:lineRule="auto"/>
        <w:ind w:firstLine="0"/>
        <w:jc w:val="center"/>
      </w:pPr>
      <w:r>
        <w:rPr>
          <w:rFonts w:ascii="Times New Roman" w:hAnsi="Times New Roman" w:eastAsia="黑体"/>
          <w:b/>
          <w:i w:val="0"/>
          <w:color w:val="000000"/>
          <w:sz w:val="21"/>
        </w:rPr>
        <w:t>表28-2　分包合同与安全协议核查表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核查项</w:t>
            </w:r>
          </w:p>
        </w:tc>
        <w:tc>
          <w:tcPr>
            <w:tcW w:type="dxa" w:w="408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是否符合</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分包范围</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与合同一致，不含主体结构</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合同价款</w:t>
            </w:r>
          </w:p>
        </w:tc>
        <w:tc>
          <w:tcPr>
            <w:tcW w:type="dxa" w:w="408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单价/总价明确，不低于成本</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工期与质量</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工期节点、质量标准与总包衔接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结算付款</w:t>
            </w:r>
          </w:p>
        </w:tc>
        <w:tc>
          <w:tcPr>
            <w:tcW w:type="dxa" w:w="408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计量方式、付款比例、质保金</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工资代发</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工资通过专户代发、不得付个人</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安全责任</w:t>
            </w:r>
          </w:p>
        </w:tc>
        <w:tc>
          <w:tcPr>
            <w:tcW w:type="dxa" w:w="408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安全协议、防护与劳保、服从统一管理</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违约清退</w:t>
            </w:r>
          </w:p>
        </w:tc>
        <w:tc>
          <w:tcPr>
            <w:tcW w:type="dxa" w:w="408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质量安全违约、清退条件</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45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争议解决</w:t>
            </w:r>
          </w:p>
        </w:tc>
        <w:tc>
          <w:tcPr>
            <w:tcW w:type="dxa" w:w="408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管辖约定</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bl>
    <w:p>
      <w:pPr>
        <w:pStyle w:val="Heading3"/>
        <w:pageBreakBefore/>
        <w:spacing w:before="120"/>
      </w:pPr>
      <w:bookmarkStart w:id="196" w:name="_LarkToc00196"/>
      <w:r>
        <w:t>附件28-3　分包商履约考核评价表（进度/质量/安全/用工/配合）</w:t>
      </w:r>
      <w:bookmarkEnd w:id="196"/>
    </w:p>
    <w:p>
      <w:pPr>
        <w:spacing w:before="0" w:after="40" w:line="312" w:lineRule="auto"/>
        <w:ind w:firstLine="0"/>
        <w:jc w:val="left"/>
      </w:pPr>
      <w:r>
        <w:rPr>
          <w:rFonts w:ascii="Times New Roman" w:hAnsi="Times New Roman" w:eastAsia="宋体"/>
          <w:b w:val="0"/>
          <w:i w:val="0"/>
          <w:color w:val="595959"/>
          <w:sz w:val="18"/>
        </w:rPr>
        <w:t>【归属】第28章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【用途】按进度、质量、安全、用工、配合五维考核，结果与结算、续签挂钩。</w:t>
      </w:r>
    </w:p>
    <w:p>
      <w:pPr>
        <w:keepNext/>
        <w:spacing w:before="80" w:after="40" w:line="288" w:lineRule="auto"/>
        <w:ind w:firstLine="0"/>
        <w:jc w:val="center"/>
      </w:pPr>
      <w:r>
        <w:rPr>
          <w:rFonts w:ascii="Times New Roman" w:hAnsi="Times New Roman" w:eastAsia="黑体"/>
          <w:b/>
          <w:i w:val="0"/>
          <w:color w:val="000000"/>
          <w:sz w:val="21"/>
        </w:rPr>
        <w:t>表28-3　分包商履约考核评价表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考核维度</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考核要点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权重</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得分</w:t>
            </w:r>
          </w:p>
        </w:tc>
        <w:tc>
          <w:tcPr>
            <w:tcW w:type="dxa" w:w="30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问题与整改</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进度</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节点完成、配合赶工</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20%</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质量</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检验批合格率、通病整改</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30%</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隐患整改、违章、事故</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25%</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用工管理</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实名制、工资发放</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15%</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配合</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服从管理、界面配合</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综合结论</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得分合计</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100%</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□合格□整改□清退</w:t>
            </w:r>
          </w:p>
        </w:tc>
      </w:tr>
    </w:tbl>
    <w:p>
      <w:pPr>
        <w:spacing w:before="20" w:after="80" w:line="288" w:lineRule="auto"/>
        <w:ind w:firstLine="0"/>
        <w:jc w:val="left"/>
      </w:pPr>
      <w:r>
        <w:rPr>
          <w:rFonts w:ascii="Times New Roman" w:hAnsi="Times New Roman" w:eastAsia="宋体"/>
          <w:b w:val="0"/>
          <w:i w:val="0"/>
          <w:color w:val="404040"/>
          <w:sz w:val="18"/>
        </w:rPr>
        <w:t>注：得分按百分制折算，保留两位小数；考核结果作为分包结算和是否续用的依据。</w:t>
      </w:r>
    </w:p>
    <w:p>
      <w:pPr>
        <w:pStyle w:val="Heading3"/>
        <w:pageBreakBefore/>
        <w:spacing w:before="120"/>
      </w:pPr>
      <w:bookmarkStart w:id="197" w:name="_LarkToc00197"/>
      <w:r>
        <w:t>附件28-4　劳务实名制花名册与进退场登记表（与工资专户衔接）</w:t>
      </w:r>
      <w:bookmarkEnd w:id="197"/>
    </w:p>
    <w:p>
      <w:pPr>
        <w:spacing w:before="0" w:after="40" w:line="312" w:lineRule="auto"/>
        <w:ind w:firstLine="0"/>
        <w:jc w:val="left"/>
      </w:pPr>
      <w:r>
        <w:rPr>
          <w:rFonts w:ascii="Times New Roman" w:hAnsi="Times New Roman" w:eastAsia="宋体"/>
          <w:b w:val="0"/>
          <w:i w:val="0"/>
          <w:color w:val="595959"/>
          <w:sz w:val="18"/>
        </w:rPr>
        <w:t>【归属】第28章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【用途】工人进场登记身份证、合同、考勤，进退场留痕；与工资专户、总包代发衔接。</w:t>
      </w:r>
    </w:p>
    <w:p>
      <w:pPr>
        <w:keepNext/>
        <w:spacing w:before="80" w:after="40" w:line="288" w:lineRule="auto"/>
        <w:ind w:firstLine="0"/>
        <w:jc w:val="center"/>
      </w:pPr>
      <w:r>
        <w:rPr>
          <w:rFonts w:ascii="Times New Roman" w:hAnsi="Times New Roman" w:eastAsia="黑体"/>
          <w:b/>
          <w:i w:val="0"/>
          <w:color w:val="000000"/>
          <w:sz w:val="21"/>
        </w:rPr>
        <w:t>表28-4　劳务实名制花名册与进退场登记</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姓名</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身份证号</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工种/班组</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退场日期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考勤（工日）</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劳动合同</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本人签字</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（示例）李某</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3301**********1234</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钢筋班</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2026-03-10</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已签</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依据：国务院令第724号；身份证号按实际填写，示例为格式；实名制数据与考勤、工资表、代发流水对应。</w:t>
      </w:r>
    </w:p>
    <w:p>
      <w:pPr>
        <w:pStyle w:val="Heading3"/>
        <w:pageBreakBefore/>
        <w:spacing w:before="120"/>
      </w:pPr>
      <w:bookmarkStart w:id="198" w:name="_LarkToc00198"/>
      <w:r>
        <w:t>附件28-5　分包工程量确认与结算/付款控制表</w:t>
      </w:r>
      <w:bookmarkEnd w:id="198"/>
    </w:p>
    <w:p>
      <w:pPr>
        <w:spacing w:before="0" w:after="40" w:line="312" w:lineRule="auto"/>
        <w:ind w:firstLine="0"/>
        <w:jc w:val="left"/>
      </w:pPr>
      <w:r>
        <w:rPr>
          <w:rFonts w:ascii="Times New Roman" w:hAnsi="Times New Roman" w:eastAsia="宋体"/>
          <w:b w:val="0"/>
          <w:i w:val="0"/>
          <w:color w:val="595959"/>
          <w:sz w:val="18"/>
        </w:rPr>
        <w:t>【归属】第28章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【用途】按实际完成量对账，扣回预付款、代发工资、质保金后付款；严禁超付、付个人。</w:t>
      </w:r>
    </w:p>
    <w:p>
      <w:pPr>
        <w:keepNext/>
        <w:spacing w:before="80" w:after="40" w:line="288" w:lineRule="auto"/>
        <w:ind w:firstLine="0"/>
        <w:jc w:val="center"/>
      </w:pPr>
      <w:r>
        <w:rPr>
          <w:rFonts w:ascii="Times New Roman" w:hAnsi="Times New Roman" w:eastAsia="黑体"/>
          <w:b/>
          <w:i w:val="0"/>
          <w:color w:val="000000"/>
          <w:sz w:val="21"/>
        </w:rPr>
        <w:t>表28-5　分包结算与付款控制表（金额单位：元）</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分包单位（泛称）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分包内容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合同价</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累计完成</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应结算</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已付款</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本次拟付</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质保金</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（示例）某劳务队</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主体钢筋</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850,000.00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637,500.00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637,500.00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510,000.00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111,625.00</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19,125.00</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代发工资已扣</w:t>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注：金额保留两位小数；应结算=累计完成±调整，本次拟付须扣除预付款、代发工资、罚款及质保金；不得将工程款直接付给包工头个人。质保金比例按合同约定（一般不超过结算总额3%）。示例行用后删除。</w:t>
      </w:r>
    </w:p>
    <w:p>
      <w:pPr>
        <w:pStyle w:val="Heading3"/>
        <w:pageBreakBefore/>
        <w:spacing w:before="120"/>
      </w:pPr>
      <w:bookmarkStart w:id="199" w:name="_LarkToc00199"/>
      <w:r>
        <w:t>附件28-6　分包安全质量技术交底与三级教育记录</w:t>
      </w:r>
      <w:bookmarkEnd w:id="199"/>
    </w:p>
    <w:p>
      <w:pPr>
        <w:spacing w:before="0" w:after="40" w:line="312" w:lineRule="auto"/>
        <w:ind w:firstLine="0"/>
        <w:jc w:val="left"/>
      </w:pPr>
      <w:r>
        <w:rPr>
          <w:rFonts w:ascii="Times New Roman" w:hAnsi="Times New Roman" w:eastAsia="宋体"/>
          <w:b w:val="0"/>
          <w:i w:val="0"/>
          <w:color w:val="595959"/>
          <w:sz w:val="18"/>
        </w:rPr>
        <w:t>【归属】第28章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【用途】分包队伍先教育交底后上岗，交底双方签字；纳入总包统一检查验收。</w:t>
      </w:r>
    </w:p>
    <w:p>
      <w:pPr>
        <w:keepNext/>
        <w:spacing w:before="80" w:after="40" w:line="288" w:lineRule="auto"/>
        <w:ind w:firstLine="0"/>
        <w:jc w:val="center"/>
      </w:pPr>
      <w:r>
        <w:rPr>
          <w:rFonts w:ascii="Times New Roman" w:hAnsi="Times New Roman" w:eastAsia="黑体"/>
          <w:b/>
          <w:i w:val="0"/>
          <w:color w:val="000000"/>
          <w:sz w:val="21"/>
        </w:rPr>
        <w:t>表28-6　分包交底与三级教育记录</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教育/交底类别</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内容要点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交底人</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被交底班组/人数</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被交底人签字</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□公司级□项目级□班组级</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安全/质量/技术</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200" w:name="_LarkToc00200"/>
      <w:r>
        <w:t>附件28-7　班组建设、技能培训与维权信息告知表</w:t>
      </w:r>
      <w:bookmarkEnd w:id="200"/>
    </w:p>
    <w:p>
      <w:pPr>
        <w:spacing w:before="0" w:after="40" w:line="312" w:lineRule="auto"/>
        <w:ind w:firstLine="0"/>
        <w:jc w:val="left"/>
      </w:pPr>
      <w:r>
        <w:rPr>
          <w:rFonts w:ascii="Times New Roman" w:hAnsi="Times New Roman" w:eastAsia="宋体"/>
          <w:b w:val="0"/>
          <w:i w:val="0"/>
          <w:color w:val="595959"/>
          <w:sz w:val="18"/>
        </w:rPr>
        <w:t>【归属】第28章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【用途】开展班组培训、技能比武，现场公示维权渠道；把工人诉求纳入日常管理。</w:t>
      </w:r>
    </w:p>
    <w:p>
      <w:pPr>
        <w:keepNext/>
        <w:spacing w:before="80" w:after="40" w:line="288" w:lineRule="auto"/>
        <w:ind w:firstLine="0"/>
        <w:jc w:val="center"/>
      </w:pPr>
      <w:r>
        <w:rPr>
          <w:rFonts w:ascii="Times New Roman" w:hAnsi="Times New Roman" w:eastAsia="黑体"/>
          <w:b/>
          <w:i w:val="0"/>
          <w:color w:val="000000"/>
          <w:sz w:val="21"/>
        </w:rPr>
        <w:t>表28-7　班组培训与维权告知表</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91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内容/落实情况</w:t>
            </w:r>
          </w:p>
        </w:tc>
      </w:tr>
      <w:tr>
        <w:trPr>
          <w:cantSplit/>
        </w:trPr>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班组建设</w:t>
            </w:r>
          </w:p>
        </w:tc>
        <w:tc>
          <w:tcPr>
            <w:tcW w:type="dxa" w:w="69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班组长、安全协管员设置与职责</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技能培训</w:t>
            </w:r>
          </w:p>
        </w:tc>
        <w:tc>
          <w:tcPr>
            <w:tcW w:type="dxa" w:w="691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新工人入场教育、特殊工种持证、日常培训记录</w:t>
            </w:r>
          </w:p>
        </w:tc>
      </w:tr>
      <w:tr>
        <w:trPr>
          <w:cantSplit/>
        </w:trPr>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维权告示牌</w:t>
            </w:r>
          </w:p>
        </w:tc>
        <w:tc>
          <w:tcPr>
            <w:tcW w:type="dxa" w:w="69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已在现场公示：投诉渠道、工资发放日期、劳资专管员及电话</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工资发放</w:t>
            </w:r>
          </w:p>
        </w:tc>
        <w:tc>
          <w:tcPr>
            <w:tcW w:type="dxa" w:w="691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发放日期、银行代发、本人签字确认</w:t>
            </w:r>
          </w:p>
        </w:tc>
      </w:tr>
      <w:tr>
        <w:trPr>
          <w:cantSplit/>
        </w:trPr>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工人诉求处理</w:t>
            </w:r>
          </w:p>
        </w:tc>
        <w:tc>
          <w:tcPr>
            <w:tcW w:type="dxa" w:w="69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食宿、劳保、意见收集与闭环情况</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检查人/日期</w:t>
            </w:r>
          </w:p>
        </w:tc>
        <w:tc>
          <w:tcPr>
            <w:tcW w:type="dxa" w:w="691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依据：国务院令第724号关于维权信息公示的规定；劳资专管员、告示牌照片留存归档。</w:t>
      </w:r>
    </w:p>
    <w:p>
      <w:pPr>
        <w:pStyle w:val="Heading2"/>
        <w:pageBreakBefore/>
      </w:pPr>
      <w:bookmarkStart w:id="35" w:name="_LarkToc00035"/>
      <w:r>
        <w:t>第29章　财务核算与税务：算清账、开好票、交好税</w:t>
      </w:r>
      <w:bookmarkEnd w:id="35"/>
    </w:p>
    <w:p>
      <w:pPr>
        <w:pStyle w:val="sec_head"/>
      </w:pPr>
      <w:r>
        <w:t>29.1　先立“精打细算、勤俭办一切事业”的账</w:t>
      </w:r>
    </w:p>
    <w:p>
      <w:pPr>
        <w:spacing w:before="0" w:after="0" w:line="360" w:lineRule="auto"/>
        <w:ind w:firstLine="480"/>
        <w:jc w:val="both"/>
      </w:pPr>
      <w:r>
        <w:rPr>
          <w:rFonts w:ascii="Times New Roman" w:hAnsi="Times New Roman" w:eastAsia="宋体"/>
          <w:b w:val="0"/>
          <w:i w:val="0"/>
          <w:color w:val="000000"/>
          <w:sz w:val="24"/>
        </w:rPr>
        <w:t>毛泽东同志讲“节省每一个铜板为着战争和革命事业”，放到项目上就是“节省每一分成本为着企业的生存”。财务不是事后记账的“账房先生”，而是项目经营的“观察哨”和“警卫员”：算得清收入、归集得准成本、管得住票据、交得对税金、看得住现金流，利润才不会在环节中悄悄流失。本章在第8章成本与资金管理的基础上，把核算、收入确认、税务、保函、两金压降和月度经济活动分析打通成一套岗位动作。</w:t>
      </w:r>
    </w:p>
    <w:p>
      <w:pPr>
        <w:pStyle w:val="sec_head"/>
      </w:pPr>
      <w:r>
        <w:t>29.2　项目财务核算体系与成本科目归集</w:t>
      </w:r>
    </w:p>
    <w:p>
      <w:pPr>
        <w:spacing w:before="0" w:after="0" w:line="360" w:lineRule="auto"/>
        <w:ind w:firstLine="480"/>
        <w:jc w:val="both"/>
      </w:pPr>
      <w:r>
        <w:rPr>
          <w:rFonts w:ascii="Times New Roman" w:hAnsi="Times New Roman" w:eastAsia="宋体"/>
          <w:b w:val="0"/>
          <w:i w:val="0"/>
          <w:color w:val="000000"/>
          <w:sz w:val="24"/>
        </w:rPr>
        <w:t>项目应按企业会计制度和建造合同准则设置明细核算，实行“项目账”与企业并表但单独反映。成本科目一般分为人工费、材料费、机械使用费、专业分包费、其他直接费、间接费（现场管理费）六类，并按分部、分项、责任部门设置辅助核算。费用归集要遵循“谁受益、谁负担、能直接则直接、不能直接则合理分摊”，原始凭证（领料单、台班单、分包结算、验收单）与账面科目一一对应，严禁“以表代账、以估代实”。</w:t>
      </w:r>
    </w:p>
    <w:p>
      <w:pPr>
        <w:pStyle w:val="sec_head"/>
      </w:pPr>
      <w:r>
        <w:t>29.3　建造合同收入确认：按履约进度，不提前、不滞后</w:t>
      </w:r>
    </w:p>
    <w:p>
      <w:pPr>
        <w:spacing w:before="0" w:after="0" w:line="360" w:lineRule="auto"/>
        <w:ind w:firstLine="480"/>
        <w:jc w:val="both"/>
      </w:pPr>
      <w:r>
        <w:rPr>
          <w:rFonts w:ascii="Times New Roman" w:hAnsi="Times New Roman" w:eastAsia="宋体"/>
          <w:b w:val="0"/>
          <w:i w:val="0"/>
          <w:color w:val="000000"/>
          <w:sz w:val="24"/>
        </w:rPr>
        <w:t>在某一时段内履行的建造合同，应当按履约进度确认收入。履约进度可采用投入法（累计实际发生成本占预计总成本的比例）或产出法（已完成的工程量、达到的里程碑）确定。关键是预计总成本要随施工进展动态复核：图纸变更、材料涨价、索赔签证都会改变预计总成本，一旦预计亏损，应立即确认预计损失。收入、成本、毛利三者配比，不得为调节利润而随意调整进度（计算见附件29-2）。</w:t>
      </w:r>
    </w:p>
    <w:p>
      <w:pPr>
        <w:pStyle w:val="sec_head"/>
      </w:pPr>
      <w:r>
        <w:t>29.4　增值税：一般计税、简易计税、异地预缴、分包差额</w:t>
      </w:r>
    </w:p>
    <w:p>
      <w:pPr>
        <w:spacing w:before="0" w:after="0" w:line="360" w:lineRule="auto"/>
        <w:ind w:firstLine="480"/>
        <w:jc w:val="both"/>
      </w:pPr>
      <w:r>
        <w:rPr>
          <w:rFonts w:ascii="Times New Roman" w:hAnsi="Times New Roman" w:eastAsia="宋体"/>
          <w:b w:val="0"/>
          <w:i w:val="0"/>
          <w:color w:val="000000"/>
          <w:sz w:val="24"/>
        </w:rPr>
        <w:t>建筑服务增值税首先要分清计税方式：一般计税与简易计税（清包工、甲供工程、老项目等可按规定选择）适用不同的税率与征收率；一般计税可以抵扣进项，简易计税不得抵扣且通常以取得的全部价款和价外费用扣除支付的分包款后的余额为销售额（分包差额计税）。跨县（市、区）提供建筑服务，应按规定在项目所在地预缴税款，再回机构所在地申报，并填报《跨区域涉税事项报告表》。具体税率、征收率、预征率和扣除范围，一律以现行税收政策及主管税务机关要求为准。</w:t>
      </w:r>
    </w:p>
    <w:p>
      <w:pPr>
        <w:spacing w:before="20" w:after="80" w:line="288" w:lineRule="auto"/>
        <w:ind w:firstLine="0"/>
        <w:jc w:val="left"/>
      </w:pPr>
      <w:r>
        <w:rPr>
          <w:rFonts w:ascii="Times New Roman" w:hAnsi="Times New Roman" w:eastAsia="宋体"/>
          <w:b w:val="0"/>
          <w:i w:val="0"/>
          <w:color w:val="404040"/>
          <w:sz w:val="18"/>
        </w:rPr>
        <w:t>注：建筑服务常见税率、征收率、预征率及分包差额扣除、甲供工程简易计税等口径，以现行税收政策及主管税务机关要求为准；本章附件仅给测算框架和填报动作，不写死税率。</w:t>
      </w:r>
    </w:p>
    <w:p>
      <w:pPr>
        <w:pStyle w:val="sec_head"/>
      </w:pPr>
      <w:r>
        <w:t>29.5　进项管理与“四流一致”：应抵尽抵、票实相符</w:t>
      </w:r>
    </w:p>
    <w:p>
      <w:pPr>
        <w:spacing w:before="0" w:after="0" w:line="360" w:lineRule="auto"/>
        <w:ind w:firstLine="480"/>
        <w:jc w:val="both"/>
      </w:pPr>
      <w:r>
        <w:rPr>
          <w:rFonts w:ascii="Times New Roman" w:hAnsi="Times New Roman" w:eastAsia="宋体"/>
          <w:b w:val="0"/>
          <w:i w:val="0"/>
          <w:color w:val="000000"/>
          <w:sz w:val="24"/>
        </w:rPr>
        <w:t>一般计税项目的税负高低，很大程度取决于进项管理。材料、机械租赁、专业分包、劳务、运输、服务等，应在签约时就约定发票类型、税率和开具时间，付款前验真、抵扣前复核。核心要求是“四流一致”：合同流、发票流、资金流、货物（服务）流的主体、品名、金额相互对应。严禁为多抵而接受虚开发票，也严禁无真实业务开票；取得异常凭证的，应按规定作进项转出并配合核查。</w:t>
      </w:r>
    </w:p>
    <w:p>
      <w:pPr>
        <w:pStyle w:val="sec_head"/>
      </w:pPr>
      <w:r>
        <w:t>29.6　附加税费、企业所得税、印花税与个税社保</w:t>
      </w:r>
    </w:p>
    <w:p>
      <w:pPr>
        <w:spacing w:before="0" w:after="0" w:line="360" w:lineRule="auto"/>
        <w:ind w:firstLine="480"/>
        <w:jc w:val="both"/>
      </w:pPr>
      <w:r>
        <w:rPr>
          <w:rFonts w:ascii="Times New Roman" w:hAnsi="Times New Roman" w:eastAsia="宋体"/>
          <w:b w:val="0"/>
          <w:i w:val="0"/>
          <w:color w:val="000000"/>
          <w:sz w:val="24"/>
        </w:rPr>
        <w:t>增值税之外，还要随增值税缴纳城市维护建设税、教育费附加、地方教育附加；按合同和应税凭证缴纳印花税；项目利润并入企业缴纳企业所得税；依法代扣代缴个人所得税，足额缴纳社会保险和住房公积金。项目财务应在月度、季度申报节点前完成数据归集，预缴与汇算衔接，避免漏报、错报产生滞纳金和罚款。各项税费的税目、税率、优惠与扣除口径，以现行税收政策为准。</w:t>
      </w:r>
    </w:p>
    <w:p>
      <w:pPr>
        <w:pStyle w:val="sec_head"/>
      </w:pPr>
      <w:r>
        <w:t>29.7　保函、保证金与授信：或有负债也要算账</w:t>
      </w:r>
    </w:p>
    <w:p>
      <w:pPr>
        <w:spacing w:before="0" w:after="0" w:line="360" w:lineRule="auto"/>
        <w:ind w:firstLine="480"/>
        <w:jc w:val="both"/>
      </w:pPr>
      <w:r>
        <w:rPr>
          <w:rFonts w:ascii="Times New Roman" w:hAnsi="Times New Roman" w:eastAsia="宋体"/>
          <w:b w:val="0"/>
          <w:i w:val="0"/>
          <w:color w:val="000000"/>
          <w:sz w:val="24"/>
        </w:rPr>
        <w:t>投标保函、履约保函、预付款保函、质量保函、农民工工资保函等，是占用企业授信和保证金的“或有负债”。财务要建立台账，逐笔登记受益人、金额、有效期、反担保形式和到期/退还/注销时间，防止“保函过期不注销、保证金久拖不退”，也防止超授信、重复开函。用银行保函替代现金保证金，能显著释放沉淀资金。</w:t>
      </w:r>
    </w:p>
    <w:p>
      <w:pPr>
        <w:pStyle w:val="sec_head"/>
      </w:pPr>
      <w:r>
        <w:t>29.8　“两金”压降：应收账款和合同资产（存货）是出血点</w:t>
      </w:r>
    </w:p>
    <w:p>
      <w:pPr>
        <w:spacing w:before="0" w:after="0" w:line="360" w:lineRule="auto"/>
        <w:ind w:firstLine="480"/>
        <w:jc w:val="both"/>
      </w:pPr>
      <w:r>
        <w:rPr>
          <w:rFonts w:ascii="Times New Roman" w:hAnsi="Times New Roman" w:eastAsia="宋体"/>
          <w:b w:val="0"/>
          <w:i w:val="0"/>
          <w:color w:val="000000"/>
          <w:sz w:val="24"/>
        </w:rPr>
        <w:t>“两金”指应收账款和存货（已完工未结算的合同资产）。这两项居高不下，是施工企业现金流紧张的主因。要按月跟踪账龄，把应收账款与计量、开票、回款台账打通，把合同资产与变更、签证、索赔、结算进度打通，明确“谁形成、谁催收、谁负责”，对超期欠款发函、停垫、必要时启动法务手段（见第30章）。</w:t>
      </w:r>
    </w:p>
    <w:p>
      <w:pPr>
        <w:pStyle w:val="sec_head"/>
      </w:pPr>
      <w:r>
        <w:t>29.9　月度经济活动分析：用数据指挥，而不是凭感觉</w:t>
      </w:r>
    </w:p>
    <w:p>
      <w:pPr>
        <w:spacing w:before="0" w:after="0" w:line="360" w:lineRule="auto"/>
        <w:ind w:firstLine="480"/>
        <w:jc w:val="both"/>
      </w:pPr>
      <w:r>
        <w:rPr>
          <w:rFonts w:ascii="Times New Roman" w:hAnsi="Times New Roman" w:eastAsia="宋体"/>
          <w:b w:val="0"/>
          <w:i w:val="0"/>
          <w:color w:val="000000"/>
          <w:sz w:val="24"/>
        </w:rPr>
        <w:t>每月由项目经理组织、财务牵头召开经济活动分析会，对比产值、收入、成本、毛利、现金流、两金、税费等指标，用“量差、价差、效率差”找原因，把分析结论落到下月的成本控制、回款催收和资金安排上。分析不是填表交差，而是发现一个问题、解决一个问题（见附件29-8）。</w:t>
      </w:r>
    </w:p>
    <w:p>
      <w:pPr>
        <w:pStyle w:val="attach_div"/>
        <w:pageBreakBefore/>
        <w:jc w:val="center"/>
      </w:pPr>
      <w:r>
        <w:t>第29章　章末附件</w:t>
      </w:r>
    </w:p>
    <w:p>
      <w:pPr>
        <w:spacing w:before="0" w:after="0" w:line="360" w:lineRule="auto"/>
        <w:ind w:firstLine="480"/>
        <w:jc w:val="both"/>
      </w:pPr>
      <w:r>
        <w:rPr>
          <w:rFonts w:ascii="Times New Roman" w:hAnsi="Times New Roman" w:eastAsia="宋体"/>
          <w:b w:val="0"/>
          <w:i w:val="0"/>
          <w:color w:val="000000"/>
          <w:sz w:val="24"/>
        </w:rPr>
        <w:t>本页之后为《财务核算与税务：算清账、开好票、交好税》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01" w:name="_LarkToc00201"/>
      <w:r>
        <w:t>附件29-1　项目成本核算科目设置与费用归集表</w:t>
      </w:r>
      <w:bookmarkEnd w:id="201"/>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【用途】开工后由项目财务会同预算员设置，按六大成本科目和分部工程设辅助核算；日常费用按本表口径归集，做到凭证与科目一一对应。</w:t>
      </w:r>
    </w:p>
    <w:p>
      <w:pPr>
        <w:keepNext/>
        <w:spacing w:before="80" w:after="40" w:line="288" w:lineRule="auto"/>
        <w:ind w:firstLine="0"/>
        <w:jc w:val="center"/>
      </w:pPr>
      <w:r>
        <w:rPr>
          <w:rFonts w:ascii="Times New Roman" w:hAnsi="Times New Roman" w:eastAsia="黑体"/>
          <w:b/>
          <w:i w:val="0"/>
          <w:color w:val="000000"/>
          <w:sz w:val="21"/>
        </w:rPr>
        <w:t>表29-1　项目成本科目设置与费用归集表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成本科目</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归集内容</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主要原始凭证</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对应分部/责任部门</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归集规则</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人工费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劳务班组工资、计件、计时、奖金</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考勤、工资表、劳务结算单</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结构/装饰—劳务员</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直接计入</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材料费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主材、辅材、周转材料摊销</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采购单、入库单、领料单</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各分部—材料员</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直接计入/按用量分摊</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机械使用费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自有机械台班、租赁费、燃油</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台班记录、租赁结算单</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各分部—机械员</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直接计入</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专业分包费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分包工程结算款</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分包合同、结算单、验收单</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相应分部—预算员</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直接计入</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其他直接费</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二次搬运、检验试验、临时设施摊销</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费用报销、发票</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项目—综合办</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直接/合理分摊</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间接费</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现场管理人员薪酬、办公、差旅</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工资表、报销单</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项目部</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按工时分摊</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（示例）C30商品混凝土</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基础及主体结构浇筑</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领料单+混凝土发货单</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主体结构—材料员</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直接计入材料费</w:t>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注：示例行仅说明填写方法，使用时删除；科目编码以企业会计制度/建造合同核算规定为准。</w:t>
      </w:r>
    </w:p>
    <w:p>
      <w:pPr>
        <w:pStyle w:val="Heading3"/>
        <w:pageBreakBefore/>
        <w:spacing w:before="120"/>
      </w:pPr>
      <w:bookmarkStart w:id="202" w:name="_LarkToc00202"/>
      <w:r>
        <w:t>附件29-2　建造合同收入确认（履约进度）计算表</w:t>
      </w:r>
      <w:bookmarkEnd w:id="202"/>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【用途】按履约进度（投入法：累计实际成本÷预计总成本）逐月计算累计应确认收入、成本和毛利；预计总成本变动时立即复核，出现预计亏损立即确认损失。</w:t>
      </w:r>
    </w:p>
    <w:p>
      <w:pPr>
        <w:keepNext/>
        <w:spacing w:before="80" w:after="40" w:line="288" w:lineRule="auto"/>
        <w:ind w:firstLine="0"/>
        <w:jc w:val="center"/>
      </w:pPr>
      <w:r>
        <w:rPr>
          <w:rFonts w:ascii="Times New Roman" w:hAnsi="Times New Roman" w:eastAsia="黑体"/>
          <w:b/>
          <w:i w:val="0"/>
          <w:color w:val="000000"/>
          <w:sz w:val="21"/>
        </w:rPr>
        <w:t>表29-2　履约进度法收入成本计算表（金额单位：元）</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合同总收入</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预计总成本</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累计实际成本</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履约进度</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累计应确认收入</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累计应确认成本</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累计毛利</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本期确认收入</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本期确认成本</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（示例）2026-03</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100,000,000.00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88,000,000.00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22,000,000.00</w:t>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25.00%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25,000,000.00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22,000,000.00</w:t>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3,000,000.00</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8,000,000.00</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7,000,000.00</w:t>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履约进度=累计实际发生成本÷预计总成本×100%，保留两位小数；累计应确认收入=合同总收入×履约进度；本期数=累计数−上期累计数。预计总成本应每月复核，预计总成本超过合同总收入的，应立即确认预计损失。示例行用后删除。</w:t>
      </w:r>
    </w:p>
    <w:p>
      <w:pPr>
        <w:pStyle w:val="Heading3"/>
        <w:pageBreakBefore/>
        <w:spacing w:before="120"/>
      </w:pPr>
      <w:bookmarkStart w:id="203" w:name="_LarkToc00203"/>
      <w:r>
        <w:t>附件29-3　项目税费测算表（增值税及附加、企业所得税、印花税等）</w:t>
      </w:r>
      <w:bookmarkEnd w:id="203"/>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【用途】投标报价和月度申报前测算税负，做到报价含足税金、申报不漏项；税率、征收率一律按现行政策取数。</w:t>
      </w:r>
    </w:p>
    <w:p>
      <w:pPr>
        <w:keepNext/>
        <w:spacing w:before="80" w:after="40" w:line="288" w:lineRule="auto"/>
        <w:ind w:firstLine="0"/>
        <w:jc w:val="center"/>
      </w:pPr>
      <w:r>
        <w:rPr>
          <w:rFonts w:ascii="Times New Roman" w:hAnsi="Times New Roman" w:eastAsia="黑体"/>
          <w:b/>
          <w:i w:val="0"/>
          <w:color w:val="000000"/>
          <w:sz w:val="21"/>
        </w:rPr>
        <w:t>表29-3　项目税费测算表（金额单位：元）</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税费项目</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计税/征收依据</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适用税（征收）率</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本期计税基数</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本期应纳税额</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累计已缴</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增值税（一般计税）</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销项税额−进项税额</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进项应抵尽抵</w:t>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增值税（简易计税/差额）</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全部价款−分包款</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分包差额扣除</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异地预缴增值税</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按预征率在项目地预缴</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回机构地申报抵减</w:t>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城市维护建设税</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实缴增值税额</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教育费附加及地方教育附加</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实缴增值税额</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企业所得税</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项目利润（并入企业）</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按季预缴/汇算</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印花税</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建设工程合同等应税凭证</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个人所得税（代扣）</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工资薪金等</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以现行政策为准</w:t>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依法代扣代缴</w:t>
            </w:r>
          </w:p>
        </w:tc>
      </w:tr>
      <w:tr>
        <w:trPr>
          <w:cantSplit/>
          <w:trHeight w:val="396" w:hRule="atLeas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注：所有税率、征收率、预征率、扣除范围、优惠口径，以现行税收政策及主管税务机关要求为准；金额保留两位小数，数字列右对齐。</w:t>
      </w:r>
    </w:p>
    <w:p>
      <w:pPr>
        <w:pStyle w:val="Heading3"/>
        <w:pageBreakBefore/>
        <w:spacing w:before="120"/>
      </w:pPr>
      <w:bookmarkStart w:id="204" w:name="_LarkToc00204"/>
      <w:r>
        <w:t>附件29-4　增值税进项发票管理与抵扣台账（深化，强调四流一致）</w:t>
      </w:r>
      <w:bookmarkEnd w:id="204"/>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【用途】逐张登记进项发票，核验合同流、发票流、资金流、货物（服务）流是否一致；异常凭证立即转出并登记处理，防止虚开风险。</w:t>
      </w:r>
    </w:p>
    <w:p>
      <w:pPr>
        <w:keepNext/>
        <w:spacing w:before="80" w:after="40" w:line="288" w:lineRule="auto"/>
        <w:ind w:firstLine="0"/>
        <w:jc w:val="center"/>
      </w:pPr>
      <w:r>
        <w:rPr>
          <w:rFonts w:ascii="Times New Roman" w:hAnsi="Times New Roman" w:eastAsia="黑体"/>
          <w:b/>
          <w:i w:val="0"/>
          <w:color w:val="000000"/>
          <w:sz w:val="21"/>
        </w:rPr>
        <w:t>表29-4　进项发票管理与“四流一致”核查台账</w:t>
      </w:r>
    </w:p>
    <w:tbl>
      <w:tblPr>
        <w:tblStyle w:val="TableGrid"/>
        <w:tblW w:type="auto" w:w="0"/>
        <w:jc w:val="center"/>
        <w:tblLayout w:type="fixed"/>
        <w:tblLook w:firstColumn="1" w:firstRow="1" w:lastColumn="0" w:lastRow="0" w:noHBand="0" w:noVBand="1" w:val="04A0"/>
      </w:tblPr>
      <w:tblGrid>
        <w:gridCol w:w="756"/>
        <w:gridCol w:w="756"/>
        <w:gridCol w:w="756"/>
        <w:gridCol w:w="756"/>
        <w:gridCol w:w="756"/>
        <w:gridCol w:w="756"/>
        <w:gridCol w:w="756"/>
        <w:gridCol w:w="756"/>
        <w:gridCol w:w="756"/>
        <w:gridCol w:w="756"/>
        <w:gridCol w:w="756"/>
        <w:gridCol w:w="756"/>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取得日期</w:t>
            </w:r>
          </w:p>
        </w:tc>
        <w:tc>
          <w:tcPr>
            <w:tcW w:type="dxa" w:w="130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开票方/纳税人识别号</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货物/服务名称</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税额</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发票号码</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对应合同号</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付款凭证号</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四流是否一致</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抵扣/转出</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（示例）钢筋采购</w:t>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□是□否</w:t>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□抵扣□转出</w:t>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0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注：四流一致指合同流、发票流、资金流、货物（服务）流的主体、品名、金额相互对应；凡“四流不一致”或取得异常凭证的，暂缓抵扣并按规定处理，严禁接受虚开发票。示例行用后删除。</w:t>
      </w:r>
    </w:p>
    <w:p>
      <w:pPr>
        <w:pStyle w:val="Heading3"/>
        <w:pageBreakBefore/>
        <w:spacing w:before="120"/>
      </w:pPr>
      <w:bookmarkStart w:id="205" w:name="_LarkToc00205"/>
      <w:r>
        <w:t>附件29-5　跨地区（异地）项目税款预缴与涉税事项报告台账</w:t>
      </w:r>
      <w:bookmarkEnd w:id="205"/>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【用途】跨县（市、区）提供建筑服务，先办跨区域涉税事项报告，再按规定在项目地预缴，回机构地申报抵减；逐笔登记防止漏预缴、多预缴。</w:t>
      </w:r>
    </w:p>
    <w:p>
      <w:pPr>
        <w:keepNext/>
        <w:spacing w:before="80" w:after="40" w:line="288" w:lineRule="auto"/>
        <w:ind w:firstLine="0"/>
        <w:jc w:val="center"/>
      </w:pPr>
      <w:r>
        <w:rPr>
          <w:rFonts w:ascii="Times New Roman" w:hAnsi="Times New Roman" w:eastAsia="黑体"/>
          <w:b/>
          <w:i w:val="0"/>
          <w:color w:val="000000"/>
          <w:sz w:val="21"/>
        </w:rPr>
        <w:t>表29-5　异地项目税款预缴与涉税事项报告台账</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1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项目名称/所在地</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跨区域报告表编号</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报告日期</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计税方式</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本次预缴基数</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预缴税额</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完税凭证号</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回机构申报抵减日期</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经办人</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（示例）湖州XX安置房/湖州</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□一般□简易</w:t>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41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注：跨区域涉税事项报告、预缴地点、预征率、分包差额扣除及抵减规则，以现行税收政策及项目所在地主管税务机关要求为准。示例行用后删除。</w:t>
      </w:r>
    </w:p>
    <w:p>
      <w:pPr>
        <w:pStyle w:val="Heading3"/>
        <w:pageBreakBefore/>
        <w:spacing w:before="120"/>
      </w:pPr>
      <w:bookmarkStart w:id="206" w:name="_LarkToc00206"/>
      <w:r>
        <w:t>附件29-6　银行保函、保证金与授信额度管理台账</w:t>
      </w:r>
      <w:bookmarkEnd w:id="206"/>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【用途】逐笔登记各类保函和保证金，盯住有效期、反担保和到期退还/注销；统筹授信额度，避免超授信、重复开函。</w:t>
      </w:r>
    </w:p>
    <w:p>
      <w:pPr>
        <w:keepNext/>
        <w:spacing w:before="80" w:after="40" w:line="288" w:lineRule="auto"/>
        <w:ind w:firstLine="0"/>
        <w:jc w:val="center"/>
      </w:pPr>
      <w:r>
        <w:rPr>
          <w:rFonts w:ascii="Times New Roman" w:hAnsi="Times New Roman" w:eastAsia="黑体"/>
          <w:b/>
          <w:i w:val="0"/>
          <w:color w:val="000000"/>
          <w:sz w:val="21"/>
        </w:rPr>
        <w:t>表29-6　保函、保证金与授信台账（金额单位：元）</w:t>
      </w:r>
    </w:p>
    <w:tbl>
      <w:tblPr>
        <w:tblStyle w:val="TableGrid"/>
        <w:tblW w:type="auto" w:w="0"/>
        <w:jc w:val="center"/>
        <w:tblLayout w:type="fixed"/>
        <w:tblLook w:firstColumn="1" w:firstRow="1" w:lastColumn="0" w:lastRow="0" w:noHBand="0" w:noVBand="1" w:val="04A0"/>
      </w:tblPr>
      <w:tblGrid>
        <w:gridCol w:w="825"/>
        <w:gridCol w:w="825"/>
        <w:gridCol w:w="825"/>
        <w:gridCol w:w="825"/>
        <w:gridCol w:w="825"/>
        <w:gridCol w:w="825"/>
        <w:gridCol w:w="825"/>
        <w:gridCol w:w="825"/>
        <w:gridCol w:w="825"/>
        <w:gridCol w:w="825"/>
        <w:gridCol w:w="825"/>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类型</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受益人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项目名称</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开立/缴纳日期</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有效期至</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形式</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反担保/占用授信</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到期/退还/注销状态</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经办人</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□投标□履约□预付款□质保□工资</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（示例）XX工程</w:t>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800,000.00</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□银行保函□现金</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□是□否</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□有效□已退□已注销</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履约保证金不得超过中标合同金额的10%；质量保证金不得超过工程价款结算总额的3%，缺陷责任期一般1年、最长2年，未约定返还期限的自竣工验收满2年返还。具体以合同专用条款及现行规定为准。示例行用后删除。</w:t>
      </w:r>
    </w:p>
    <w:p>
      <w:pPr>
        <w:pStyle w:val="Heading3"/>
        <w:pageBreakBefore/>
        <w:spacing w:before="120"/>
      </w:pPr>
      <w:bookmarkStart w:id="207" w:name="_LarkToc00207"/>
      <w:r>
        <w:t>附件29-7　“两金”（应收账款、存货/合同资产）压降专项表</w:t>
      </w:r>
      <w:bookmarkEnd w:id="207"/>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【用途】按月按账龄跟踪应收账款和已完工未结算合同资产，明确催收责任和措施，超期欠款同步发函或转法务。</w:t>
      </w:r>
    </w:p>
    <w:p>
      <w:pPr>
        <w:keepNext/>
        <w:spacing w:before="80" w:after="40" w:line="288" w:lineRule="auto"/>
        <w:ind w:firstLine="0"/>
        <w:jc w:val="center"/>
      </w:pPr>
      <w:r>
        <w:rPr>
          <w:rFonts w:ascii="Times New Roman" w:hAnsi="Times New Roman" w:eastAsia="黑体"/>
          <w:b/>
          <w:i w:val="0"/>
          <w:color w:val="000000"/>
          <w:sz w:val="21"/>
        </w:rPr>
        <w:t>表29-7　“两金”账龄与压降专项表（金额单位：元）</w:t>
      </w:r>
    </w:p>
    <w:tbl>
      <w:tblPr>
        <w:tblStyle w:val="TableGrid"/>
        <w:tblW w:type="auto" w:w="0"/>
        <w:jc w:val="center"/>
        <w:tblLayout w:type="fixed"/>
        <w:tblLook w:firstColumn="1" w:firstRow="1" w:lastColumn="0" w:lastRow="0" w:noHBand="0" w:noVBand="1" w:val="04A0"/>
      </w:tblPr>
      <w:tblGrid>
        <w:gridCol w:w="825"/>
        <w:gridCol w:w="825"/>
        <w:gridCol w:w="825"/>
        <w:gridCol w:w="825"/>
        <w:gridCol w:w="825"/>
        <w:gridCol w:w="825"/>
        <w:gridCol w:w="825"/>
        <w:gridCol w:w="825"/>
        <w:gridCol w:w="825"/>
        <w:gridCol w:w="825"/>
        <w:gridCol w:w="825"/>
      </w:tblGrid>
      <w:tr>
        <w:trPr>
          <w:cantSplit/>
          <w:tblHeader w:val="true"/>
        </w:trPr>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119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项目/对方单位</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期末余额</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1年以内</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1—2年</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2—3年</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3年以上</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形成原因</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压降措施</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目标回收额</w:t>
            </w:r>
          </w:p>
        </w:tc>
      </w:tr>
      <w:tr>
        <w:trPr>
          <w:cantSpli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应收账款</w:t>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（示例）XX置业</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12,000,000.00</w:t>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8,000,000.00</w:t>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4,000,000.00</w:t>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进度款逾期</w:t>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发函+法务</w:t>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Pr>
        <w:tc>
          <w:tcPr>
            <w:tcW w:type="dxa" w:w="85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合同资产</w:t>
            </w:r>
          </w:p>
        </w:tc>
        <w:tc>
          <w:tcPr>
            <w:tcW w:type="dxa" w:w="119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变更未结算</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催办结算</w:t>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r>
        <w:trPr>
          <w:cantSplit/>
          <w:trHeight w:val="396" w:hRule="atLeast"/>
        </w:trPr>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9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注：合同资产指已完工未结算、需待结算或变更签证确认的款项；与第8章进度款台账、第30章诉讼清收衔接。示例行用后删除。</w:t>
      </w:r>
    </w:p>
    <w:p>
      <w:pPr>
        <w:pStyle w:val="Heading3"/>
        <w:pageBreakBefore/>
        <w:spacing w:before="120"/>
      </w:pPr>
      <w:bookmarkStart w:id="208" w:name="_LarkToc00208"/>
      <w:r>
        <w:t>附件29-8　项目财务月度报表与经济活动分析表</w:t>
      </w:r>
      <w:bookmarkEnd w:id="208"/>
    </w:p>
    <w:p>
      <w:pPr>
        <w:spacing w:before="0" w:after="40" w:line="312" w:lineRule="auto"/>
        <w:ind w:firstLine="0"/>
        <w:jc w:val="left"/>
      </w:pPr>
      <w:r>
        <w:rPr>
          <w:rFonts w:ascii="Times New Roman" w:hAnsi="Times New Roman" w:eastAsia="宋体"/>
          <w:b w:val="0"/>
          <w:i w:val="0"/>
          <w:color w:val="595959"/>
          <w:sz w:val="18"/>
        </w:rPr>
        <w:t>【归属】第29章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【用途】每月经济活动分析会使用，对比产值、收入、成本、毛利、现金流和两金，把偏差原因和纠偏措施落到责任人。</w:t>
      </w:r>
    </w:p>
    <w:p>
      <w:pPr>
        <w:keepNext/>
        <w:spacing w:before="80" w:after="40" w:line="288" w:lineRule="auto"/>
        <w:ind w:firstLine="0"/>
        <w:jc w:val="center"/>
      </w:pPr>
      <w:r>
        <w:rPr>
          <w:rFonts w:ascii="Times New Roman" w:hAnsi="Times New Roman" w:eastAsia="黑体"/>
          <w:b/>
          <w:i w:val="0"/>
          <w:color w:val="000000"/>
          <w:sz w:val="21"/>
        </w:rPr>
        <w:t>表29-8　月度经济活动分析表（金额单位：元）</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指标</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本月计划</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本月实际</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累计计划</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累计实际</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偏差率</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偏差原因</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纠偏措施</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完成产值</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确认收入</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实际成本</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毛利率</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经营性现金净流入</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应收账款余额</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合同资产余额</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上缴/缴纳税费</w:t>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2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注：偏差率=（实际−计划）÷计划×100%，保留两位小数；分析结论应形成会议纪要并跟踪闭环。</w:t>
      </w:r>
    </w:p>
    <w:p>
      <w:pPr>
        <w:pStyle w:val="Heading2"/>
        <w:pageBreakBefore/>
      </w:pPr>
      <w:bookmarkStart w:id="36" w:name="_LarkToc00036"/>
      <w:r>
        <w:t>第30章　法务诉讼与债权清收：会打官司、能拿回钱</w:t>
      </w:r>
      <w:bookmarkEnd w:id="36"/>
    </w:p>
    <w:p>
      <w:pPr>
        <w:pStyle w:val="sec_head"/>
      </w:pPr>
      <w:r>
        <w:t>30.1　诉讼是另一种作战：证据是弹药、时效是战机</w:t>
      </w:r>
    </w:p>
    <w:p>
      <w:pPr>
        <w:spacing w:before="0" w:after="0" w:line="360" w:lineRule="auto"/>
        <w:ind w:firstLine="480"/>
        <w:jc w:val="both"/>
      </w:pPr>
      <w:r>
        <w:rPr>
          <w:rFonts w:ascii="Times New Roman" w:hAnsi="Times New Roman" w:eastAsia="宋体"/>
          <w:b w:val="0"/>
          <w:i w:val="0"/>
          <w:color w:val="000000"/>
          <w:sz w:val="24"/>
        </w:rPr>
        <w:t>毛泽东同志讲“不打无准备之仗”，打官司尤其如此。很多企业不是输在理上，而是输在证据不足、时效已过、财产被转移。诉讼和清收要像打仗一样谋划：平时就要把合同、签证、函件、验收、结算、付款凭证当成“战备物资”存好；一旦发生争议，先固定证据、再算时效、后选管辖，能调解的不硬打、该保全的先保全、该执行的盯到底。打官司的最终目的不是胜诉判决书，而是把钱拿回来。</w:t>
      </w:r>
    </w:p>
    <w:p>
      <w:pPr>
        <w:pStyle w:val="sec_head"/>
      </w:pPr>
      <w:r>
        <w:t>30.2　工程纠纷类型与应对思路</w:t>
      </w:r>
    </w:p>
    <w:p>
      <w:pPr>
        <w:spacing w:before="0" w:after="0" w:line="360" w:lineRule="auto"/>
        <w:ind w:firstLine="480"/>
        <w:jc w:val="both"/>
      </w:pPr>
      <w:r>
        <w:rPr>
          <w:rFonts w:ascii="Times New Roman" w:hAnsi="Times New Roman" w:eastAsia="宋体"/>
          <w:b w:val="0"/>
          <w:i w:val="0"/>
          <w:color w:val="000000"/>
          <w:sz w:val="24"/>
        </w:rPr>
        <w:t>施工企业常见纠纷包括：工程款（进度款、结算款、质保金）拖欠、工期与停窝工索赔、质量反索赔、分包/劳务结算、材料采购合同、侵权损害等。应对上要区分“要钱的官司”和“被反诉的官司”：作为原告主张工程款的，重点是合同效力、已完工程量、结算依据和时效；作为被告被反诉质量、工期的，重点是验收记录、往来函件和对方违约在先的证据。重大案件应尽早由专业律师介入评估。</w:t>
      </w:r>
    </w:p>
    <w:p>
      <w:pPr>
        <w:pStyle w:val="sec_head"/>
      </w:pPr>
      <w:r>
        <w:t>30.3　诉讼时效：一般三年，从知道或应当知道之日起算</w:t>
      </w:r>
    </w:p>
    <w:p>
      <w:pPr>
        <w:spacing w:before="0" w:after="0" w:line="360" w:lineRule="auto"/>
        <w:ind w:firstLine="480"/>
        <w:jc w:val="both"/>
      </w:pPr>
      <w:r>
        <w:rPr>
          <w:rFonts w:ascii="Times New Roman" w:hAnsi="Times New Roman" w:eastAsia="宋体"/>
          <w:b w:val="0"/>
          <w:i w:val="0"/>
          <w:color w:val="000000"/>
          <w:sz w:val="24"/>
        </w:rPr>
        <w:t>向人民法院请求保护民事权利的诉讼时效期间一般为三年，自权利人知道或者应当知道权利受到损害以及义务人之日起计算；超过时效对方提出抗辩的，权利将得不到法院保护。诉讼时效可因权利人提出履行请求、义务人同意履行、提起诉讼或仲裁等而中断并重新起算。项目部和法务要把每个债权的应付款日、时效起算日、届满日登记造册，到期前发函催告、保留送达证据（核查清单见附件30-2）。具体以《民法典》及现行司法解释为准。</w:t>
      </w:r>
    </w:p>
    <w:p>
      <w:pPr>
        <w:spacing w:before="20" w:after="80" w:line="288" w:lineRule="auto"/>
        <w:ind w:firstLine="0"/>
        <w:jc w:val="left"/>
      </w:pPr>
      <w:r>
        <w:rPr>
          <w:rFonts w:ascii="Times New Roman" w:hAnsi="Times New Roman" w:eastAsia="宋体"/>
          <w:b w:val="0"/>
          <w:i w:val="0"/>
          <w:color w:val="404040"/>
          <w:sz w:val="18"/>
        </w:rPr>
        <w:t>依据：《中华人民共和国民法典》关于诉讼时效的规定（一般诉讼时效三年、可中断）；工程价款优先受偿权最长十八个月、自应付款之日起算（见第10章）。具体条文以现行《民法典》及最新司法解释为准。</w:t>
      </w:r>
    </w:p>
    <w:p>
      <w:pPr>
        <w:pStyle w:val="sec_head"/>
      </w:pPr>
      <w:r>
        <w:t>30.4　证据准备：打官司就是打证据</w:t>
      </w:r>
    </w:p>
    <w:p>
      <w:pPr>
        <w:spacing w:before="0" w:after="0" w:line="360" w:lineRule="auto"/>
        <w:ind w:firstLine="480"/>
        <w:jc w:val="both"/>
      </w:pPr>
      <w:r>
        <w:rPr>
          <w:rFonts w:ascii="Times New Roman" w:hAnsi="Times New Roman" w:eastAsia="宋体"/>
          <w:b w:val="0"/>
          <w:i w:val="0"/>
          <w:color w:val="000000"/>
          <w:sz w:val="24"/>
        </w:rPr>
        <w:t>主张工程款的核心证据链：施工合同及补充协议、中标通知书、招投标文件、开工令、施工图纸与变更、竣工验收记录、结算书及结算往来、往来函件（工程联系单、催告函）、会议纪要、施工日志、照片视频、付款凭证、发票。要做到“合同有依据、工程量有签证、价款有确认、催收有记录”。证据应形成完整链条，相互印证，并注意原件保管和电子证据的固定。</w:t>
      </w:r>
    </w:p>
    <w:p>
      <w:pPr>
        <w:pStyle w:val="sec_head"/>
      </w:pPr>
      <w:r>
        <w:t>30.5　财产保全：先控制对方的钱，再谈输赢</w:t>
      </w:r>
    </w:p>
    <w:p>
      <w:pPr>
        <w:spacing w:before="0" w:after="0" w:line="360" w:lineRule="auto"/>
        <w:ind w:firstLine="480"/>
        <w:jc w:val="both"/>
      </w:pPr>
      <w:r>
        <w:rPr>
          <w:rFonts w:ascii="Times New Roman" w:hAnsi="Times New Roman" w:eastAsia="宋体"/>
          <w:b w:val="0"/>
          <w:i w:val="0"/>
          <w:color w:val="000000"/>
          <w:sz w:val="24"/>
        </w:rPr>
        <w:t>起诉或仲裁前、诉讼中，发现对方有转移财产、赖账迹象的，应及时申请诉前或诉中财产保全，查封、冻结对方银行账户、房产、土地、车辆、股权和应收款。保全需要提供担保（可用保函担保），要摸清对方财产线索再申请，避免“赢了官司拿不到钱”。担保财产清单见附件30-3。</w:t>
      </w:r>
    </w:p>
    <w:p>
      <w:pPr>
        <w:pStyle w:val="sec_head"/>
      </w:pPr>
      <w:r>
        <w:t>30.6　诉讼还是仲裁：按合同约定，择优选择</w:t>
      </w:r>
    </w:p>
    <w:p>
      <w:pPr>
        <w:spacing w:before="0" w:after="0" w:line="360" w:lineRule="auto"/>
        <w:ind w:firstLine="480"/>
        <w:jc w:val="both"/>
      </w:pPr>
      <w:r>
        <w:rPr>
          <w:rFonts w:ascii="Times New Roman" w:hAnsi="Times New Roman" w:eastAsia="宋体"/>
          <w:b w:val="0"/>
          <w:i w:val="0"/>
          <w:color w:val="000000"/>
          <w:sz w:val="24"/>
        </w:rPr>
        <w:t>争议解决方式首先看合同：合同约定有效仲裁条款的，应申请仲裁（一裁终局、不公开）；没有仲裁条款的，向有管辖权的法院起诉。建设工程施工合同纠纷按不动产所在地专属管辖。选择时综合考虑效率、费用、保密性和执行便利；合同签约阶段就应把管辖/仲裁条款谈清楚，避免事后被动。</w:t>
      </w:r>
    </w:p>
    <w:p>
      <w:pPr>
        <w:pStyle w:val="sec_head"/>
      </w:pPr>
      <w:r>
        <w:t>30.7　黑白合同、实际施工人、表见代理与印章授权</w:t>
      </w:r>
    </w:p>
    <w:p>
      <w:pPr>
        <w:spacing w:before="0" w:after="0" w:line="360" w:lineRule="auto"/>
        <w:ind w:firstLine="480"/>
        <w:jc w:val="both"/>
      </w:pPr>
      <w:r>
        <w:rPr>
          <w:rFonts w:ascii="Times New Roman" w:hAnsi="Times New Roman" w:eastAsia="宋体"/>
          <w:b w:val="0"/>
          <w:i w:val="0"/>
          <w:color w:val="000000"/>
          <w:sz w:val="24"/>
        </w:rPr>
        <w:t>依法必须招标的项目，招标人和中标人另行订立的合同与中标合同实质性内容不一致的，应当以中标合同（备案的中标合同）作为结算依据，即“白合同优先”。对实际施工人主张权利的，要依法核查其与转包、违法分包的关系和发包人欠付工程款范围。对表见代理和印章风险，要管好授权委托书和项目章：明确授权范围、期限，严禁随意加盖空白函件，防止“项目经理私签合同、企业担责”（风险防控表见附件30-4、30-5）。</w:t>
      </w:r>
    </w:p>
    <w:p>
      <w:pPr>
        <w:spacing w:before="20" w:after="80" w:line="288" w:lineRule="auto"/>
        <w:ind w:firstLine="0"/>
        <w:jc w:val="left"/>
      </w:pPr>
      <w:r>
        <w:rPr>
          <w:rFonts w:ascii="Times New Roman" w:hAnsi="Times New Roman" w:eastAsia="宋体"/>
          <w:b w:val="0"/>
          <w:i w:val="0"/>
          <w:color w:val="404040"/>
          <w:sz w:val="18"/>
        </w:rPr>
        <w:t>依据：《最高人民法院关于审理建设工程施工合同纠纷案件适用法律问题的解释（一）》（法释〔2020〕25号）关于黑白合同、实际施工人、优先受偿权等规定；具体以现行司法解释为准。</w:t>
      </w:r>
    </w:p>
    <w:p>
      <w:pPr>
        <w:pStyle w:val="sec_head"/>
      </w:pPr>
      <w:r>
        <w:t>30.8　以房抵款与债务重组：能落袋的才是钱</w:t>
      </w:r>
    </w:p>
    <w:p>
      <w:pPr>
        <w:spacing w:before="0" w:after="0" w:line="360" w:lineRule="auto"/>
        <w:ind w:firstLine="480"/>
        <w:jc w:val="both"/>
      </w:pPr>
      <w:r>
        <w:rPr>
          <w:rFonts w:ascii="Times New Roman" w:hAnsi="Times New Roman" w:eastAsia="宋体"/>
          <w:b w:val="0"/>
          <w:i w:val="0"/>
          <w:color w:val="000000"/>
          <w:sz w:val="24"/>
        </w:rPr>
        <w:t>对方无力支付现金时，可以谈以房抵款、以物抵债或债务重组，但要算清资产价值、过户税费、变现难度和后续风险。以房抵款应办理过户或预告登记，明确抵债金额、发票、税费承担和违约责任，防止“抵了一堆卖不掉的房”。协议要点与风险审查见附件30-6。</w:t>
      </w:r>
    </w:p>
    <w:p>
      <w:pPr>
        <w:pStyle w:val="sec_head"/>
      </w:pPr>
      <w:r>
        <w:t>30.9　执行、财产线索与破产债权申报</w:t>
      </w:r>
    </w:p>
    <w:p>
      <w:pPr>
        <w:spacing w:before="0" w:after="0" w:line="360" w:lineRule="auto"/>
        <w:ind w:firstLine="480"/>
        <w:jc w:val="both"/>
      </w:pPr>
      <w:r>
        <w:rPr>
          <w:rFonts w:ascii="Times New Roman" w:hAnsi="Times New Roman" w:eastAsia="宋体"/>
          <w:b w:val="0"/>
          <w:i w:val="0"/>
          <w:color w:val="000000"/>
          <w:sz w:val="24"/>
        </w:rPr>
        <w:t>胜诉/裁决后对方不履行的，应在法定期限内申请强制执行。要主动提供被执行人财产线索（银行账户、房产、车辆、股权、到期债权、应收账款），配合法院查控、纳入失信和限高；对方进入破产程序的，及时申报债权，主张建设工程价款优先受偿权。执行案件要长期跟踪，不能“立了案就不管”。</w:t>
      </w:r>
    </w:p>
    <w:p>
      <w:pPr>
        <w:pStyle w:val="sec_head"/>
      </w:pPr>
      <w:r>
        <w:t>30.10　优先受偿权在诉讼中的主张（与第10章衔接）</w:t>
      </w:r>
    </w:p>
    <w:p>
      <w:pPr>
        <w:spacing w:before="0" w:after="0" w:line="360" w:lineRule="auto"/>
        <w:ind w:firstLine="480"/>
        <w:jc w:val="both"/>
      </w:pPr>
      <w:r>
        <w:rPr>
          <w:rFonts w:ascii="Times New Roman" w:hAnsi="Times New Roman" w:eastAsia="宋体"/>
          <w:b w:val="0"/>
          <w:i w:val="0"/>
          <w:color w:val="000000"/>
          <w:sz w:val="24"/>
        </w:rPr>
        <w:t>建设工程价款优先受偿权是施工企业的“杀手锏”：承包人就工程折价或拍卖价款，在发包人欠付工程款范围内优先于抵押权和其他债权受偿。行使期限最长为十八个月，自发包人应当给付建设工程价款之日起算；以工程质量合格为前提，范围不含利息、违约金、损害赔偿金。起诉时应把确认工程款和主张优先受偿权一并提出，并注意与诉讼时效的衔接（主张表见附件30-8）。</w:t>
      </w:r>
    </w:p>
    <w:p>
      <w:pPr>
        <w:pStyle w:val="attach_div"/>
        <w:pageBreakBefore/>
        <w:jc w:val="center"/>
      </w:pPr>
      <w:r>
        <w:t>第30章　章末附件</w:t>
      </w:r>
    </w:p>
    <w:p>
      <w:pPr>
        <w:spacing w:before="0" w:after="0" w:line="360" w:lineRule="auto"/>
        <w:ind w:firstLine="480"/>
        <w:jc w:val="both"/>
      </w:pPr>
      <w:r>
        <w:rPr>
          <w:rFonts w:ascii="Times New Roman" w:hAnsi="Times New Roman" w:eastAsia="宋体"/>
          <w:b w:val="0"/>
          <w:i w:val="0"/>
          <w:color w:val="000000"/>
          <w:sz w:val="24"/>
        </w:rPr>
        <w:t>本页之后为《法务诉讼与债权清收：会打官司、能拿回钱》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09" w:name="_LarkToc00209"/>
      <w:r>
        <w:t>附件30-1　法律纠纷（案件）登记与应对台账</w:t>
      </w:r>
      <w:bookmarkEnd w:id="209"/>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【用途】所有涉诉、仲裁、律师函、纠纷事项统一登记，明确阶段、金额、责任人和外聘律师，动态跟踪到结案回款。</w:t>
      </w:r>
    </w:p>
    <w:p>
      <w:pPr>
        <w:keepNext/>
        <w:spacing w:before="80" w:after="40" w:line="288" w:lineRule="auto"/>
        <w:ind w:firstLine="0"/>
        <w:jc w:val="center"/>
      </w:pPr>
      <w:r>
        <w:rPr>
          <w:rFonts w:ascii="Times New Roman" w:hAnsi="Times New Roman" w:eastAsia="黑体"/>
          <w:b/>
          <w:i w:val="0"/>
          <w:color w:val="000000"/>
          <w:sz w:val="21"/>
        </w:rPr>
        <w:t>表30-1　法律纠纷（案件）登记与跟踪台账（金额单位：元）</w:t>
      </w:r>
    </w:p>
    <w:tbl>
      <w:tblPr>
        <w:tblStyle w:val="TableGrid"/>
        <w:tblW w:type="auto" w:w="0"/>
        <w:jc w:val="center"/>
        <w:tblLayout w:type="fixed"/>
        <w:tblLook w:firstColumn="1" w:firstRow="1" w:lastColumn="0" w:lastRow="0" w:noHBand="0" w:noVBand="1" w:val="04A0"/>
      </w:tblPr>
      <w:tblGrid>
        <w:gridCol w:w="756"/>
        <w:gridCol w:w="756"/>
        <w:gridCol w:w="756"/>
        <w:gridCol w:w="756"/>
        <w:gridCol w:w="756"/>
        <w:gridCol w:w="756"/>
        <w:gridCol w:w="756"/>
        <w:gridCol w:w="756"/>
        <w:gridCol w:w="756"/>
        <w:gridCol w:w="756"/>
        <w:gridCol w:w="756"/>
        <w:gridCol w:w="756"/>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案件/纠纷名称</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我方地位</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对方当事人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争议金额</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案由</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所处阶段</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管辖/仲裁机构</w:t>
            </w:r>
          </w:p>
        </w:tc>
        <w:tc>
          <w:tcPr>
            <w:tcW w:type="dxa" w:w="62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外聘律师</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立案/受理日期</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当前进展</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（示例）XX置业工程款纠纷</w:t>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□原告□被告</w:t>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XX置业</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12,000,000.00</w:t>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工程款</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□诉前□一审□执行</w:t>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56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62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注：重大案件须由专业律师出具意见；本表与附件30-2时效核查、附件30-7执行跟踪配套使用。示例行用后删除。</w:t>
      </w:r>
    </w:p>
    <w:p>
      <w:pPr>
        <w:pStyle w:val="Heading3"/>
        <w:pageBreakBefore/>
        <w:spacing w:before="120"/>
      </w:pPr>
      <w:bookmarkStart w:id="210" w:name="_LarkToc00210"/>
      <w:r>
        <w:t>附件30-2　诉讼/仲裁时效与证据准备核查清单</w:t>
      </w:r>
      <w:bookmarkEnd w:id="210"/>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【用途】立案前逐项核对时效是否届满、证据是否齐全；时效即将届满的，先发函催告中断时效并保留送达证据。</w:t>
      </w:r>
    </w:p>
    <w:p>
      <w:pPr>
        <w:keepNext/>
        <w:spacing w:before="80" w:after="40" w:line="288" w:lineRule="auto"/>
        <w:ind w:firstLine="0"/>
        <w:jc w:val="center"/>
      </w:pPr>
      <w:r>
        <w:rPr>
          <w:rFonts w:ascii="Times New Roman" w:hAnsi="Times New Roman" w:eastAsia="黑体"/>
          <w:b/>
          <w:i w:val="0"/>
          <w:color w:val="000000"/>
          <w:sz w:val="21"/>
        </w:rPr>
        <w:t>表30-2　时效与证据准备核查清单</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核查项</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是否齐备</w:t>
            </w:r>
          </w:p>
        </w:tc>
        <w:tc>
          <w:tcPr>
            <w:tcW w:type="dxa" w:w="255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应付款之日/权利受损之日</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确定时效起算点</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诉讼时效（一般3年）是否届满</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未届满方可胜诉</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以民法典为准</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时效中断证据（催告函/对方承诺/起诉）</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保留送达签收记录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施工合同及补充协议</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原件/盖章件</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中标通知书、招投标文件</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黑白合同认定依据</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开工、竣工验收记录</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证明工期与质量合格</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结算书及结算往来函件</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证明应付价款</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变更、签证、索赔资料</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证明增加工程量</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9</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往来函件、会议纪要、施工日志</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形成证据链</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已收款凭证、发票</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证明已付/欠付金额</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11</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管辖/仲裁条款</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确定受案机构</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55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依据：《民法典》诉讼时效（一般三年，可中断）、《民事诉讼法》；具体以现行法律及司法解释为准。</w:t>
      </w:r>
    </w:p>
    <w:p>
      <w:pPr>
        <w:pStyle w:val="Heading3"/>
        <w:pageBreakBefore/>
        <w:spacing w:before="120"/>
      </w:pPr>
      <w:bookmarkStart w:id="211" w:name="_LarkToc00211"/>
      <w:r>
        <w:t>附件30-3　财产保全申请与担保财产清单</w:t>
      </w:r>
      <w:bookmarkEnd w:id="211"/>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【用途】发现对方转移财产迹象时，及时申请诉前/诉中保全；提供己方担保财产或保函，列明拟查封冻结的对方财产线索。</w:t>
      </w:r>
    </w:p>
    <w:p>
      <w:pPr>
        <w:keepNext/>
        <w:spacing w:before="80" w:after="40" w:line="288" w:lineRule="auto"/>
        <w:ind w:firstLine="0"/>
        <w:jc w:val="center"/>
      </w:pPr>
      <w:r>
        <w:rPr>
          <w:rFonts w:ascii="Times New Roman" w:hAnsi="Times New Roman" w:eastAsia="黑体"/>
          <w:b/>
          <w:i w:val="0"/>
          <w:color w:val="000000"/>
          <w:sz w:val="21"/>
        </w:rPr>
        <w:t>表30-3-1　拟保全的对方财产线索清单（金额单位：元）</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财产类型</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财产线索（账号/坐落/牌号/企业）</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估算价值</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查封冻结措施</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核实情况</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□银行账户□房产□土地□车辆□股权□应收款</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□冻结□查封</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□已核实□待查</w:t>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表30-3-2　己方担保财产清单</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45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担保方式</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担保财产/保函金额</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担保机构/出具人</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有效期</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□自有资产□银行保函□担保公司</w:t>
            </w:r>
          </w:p>
        </w:tc>
        <w:tc>
          <w:tcPr>
            <w:tcW w:type="dxa" w:w="170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45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注：诉前保全后应在法定期限内起诉/申请仲裁，否则可能解除保全；具体以现行《民事诉讼法》及司法解释为准。</w:t>
      </w:r>
    </w:p>
    <w:p>
      <w:pPr>
        <w:pStyle w:val="Heading3"/>
        <w:pageBreakBefore/>
        <w:spacing w:before="120"/>
      </w:pPr>
      <w:bookmarkStart w:id="212" w:name="_LarkToc00212"/>
      <w:r>
        <w:t>附件30-4　黑白合同与合同效力风险自查表</w:t>
      </w:r>
      <w:bookmarkEnd w:id="212"/>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【用途】对必须招标的项目，核查中标合同与实际履行合同是否存在实质性背离，防止结算时按“黑合同”计价引发风险。</w:t>
      </w:r>
    </w:p>
    <w:p>
      <w:pPr>
        <w:keepNext/>
        <w:spacing w:before="80" w:after="40" w:line="288" w:lineRule="auto"/>
        <w:ind w:firstLine="0"/>
        <w:jc w:val="center"/>
      </w:pPr>
      <w:r>
        <w:rPr>
          <w:rFonts w:ascii="Times New Roman" w:hAnsi="Times New Roman" w:eastAsia="黑体"/>
          <w:b/>
          <w:i w:val="0"/>
          <w:color w:val="000000"/>
          <w:sz w:val="21"/>
        </w:rPr>
        <w:t>表30-4　黑白合同与合同效力风险自查表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自查项</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风险情形</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是否存在</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应对措施</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项目是否属于必须招标范围</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未招标/中标无效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是否另行订立背离中标合同的协议</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实质性内容不一致</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以中标合同结算</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合同价款、工期、质量是否与中标一致</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价款/工期擅自变更</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是否存在转包、违法分包、挂靠</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合同可能无效</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见第8章合规自查</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是否存在无资质/超越资质签约</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合同效力瑕疵</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结算依据采用哪份合同</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黑白合同争议</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□白□黑</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留存招投标资料</w:t>
            </w:r>
          </w:p>
        </w:tc>
      </w:tr>
    </w:tbl>
    <w:p>
      <w:pPr>
        <w:spacing w:before="20" w:after="80" w:line="288" w:lineRule="auto"/>
        <w:ind w:firstLine="0"/>
        <w:jc w:val="left"/>
      </w:pPr>
      <w:r>
        <w:rPr>
          <w:rFonts w:ascii="Times New Roman" w:hAnsi="Times New Roman" w:eastAsia="宋体"/>
          <w:b w:val="0"/>
          <w:i w:val="0"/>
          <w:color w:val="404040"/>
          <w:sz w:val="18"/>
        </w:rPr>
        <w:t>依据：法释〔2020〕25号：招标人与中标人另行订立的合同与中标合同实质性内容不一致的，以中标合同作为结算依据；具体以现行司法解释为准。</w:t>
      </w:r>
    </w:p>
    <w:p>
      <w:pPr>
        <w:pStyle w:val="Heading3"/>
        <w:pageBreakBefore/>
        <w:spacing w:before="120"/>
      </w:pPr>
      <w:bookmarkStart w:id="213" w:name="_LarkToc00213"/>
      <w:r>
        <w:t>附件30-5　实际施工人、表见代理与印章授权风险防控表</w:t>
      </w:r>
      <w:bookmarkEnd w:id="213"/>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【用途】管好授权委托书、项目章和对外签约行为，防止项目经理/班组私签合同构成表见代理、企业被动担责。</w:t>
      </w:r>
    </w:p>
    <w:p>
      <w:pPr>
        <w:keepNext/>
        <w:spacing w:before="80" w:after="40" w:line="288" w:lineRule="auto"/>
        <w:ind w:firstLine="0"/>
        <w:jc w:val="center"/>
      </w:pPr>
      <w:r>
        <w:rPr>
          <w:rFonts w:ascii="Times New Roman" w:hAnsi="Times New Roman" w:eastAsia="黑体"/>
          <w:b/>
          <w:i w:val="0"/>
          <w:color w:val="000000"/>
          <w:sz w:val="21"/>
        </w:rPr>
        <w:t>表30-5　表见代理、印章与授权风险防控表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风险点</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典型情形</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防控措施</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授权管理</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授权委托书范围不清、期限不明</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明确授权事项、权限、期限，一事一授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项目章使用</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项目章对外签订借款、担保合同</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项目章刻制使用范围，禁止用于借贷担保</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空白函件</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在空白纸张/合同上盖章</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严禁盖空白函件，用印审批登记</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实际施工人</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挂靠/转包人对外采购、借款</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核查相对方是否明知，留存内部管理证据</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表见代理</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离职人员仍以企业名义签约</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及时收回授权、公告、更换公示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对外担保</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项目擅自为业主/分包担保</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对外担保一律总部审批</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pStyle w:val="Heading3"/>
        <w:pageBreakBefore/>
        <w:spacing w:before="120"/>
      </w:pPr>
      <w:bookmarkStart w:id="214" w:name="_LarkToc00214"/>
      <w:r>
        <w:t>附件30-6　以房抵款/债务重组协议要点与风险审查表</w:t>
      </w:r>
      <w:bookmarkEnd w:id="214"/>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【用途】签署以房抵款、债务重组协议前逐项审查，确保资产可过户、可变现、税费清晰，避免抵债资产“烫手”。</w:t>
      </w:r>
    </w:p>
    <w:p>
      <w:pPr>
        <w:keepNext/>
        <w:spacing w:before="80" w:after="40" w:line="288" w:lineRule="auto"/>
        <w:ind w:firstLine="0"/>
        <w:jc w:val="center"/>
      </w:pPr>
      <w:r>
        <w:rPr>
          <w:rFonts w:ascii="Times New Roman" w:hAnsi="Times New Roman" w:eastAsia="黑体"/>
          <w:b/>
          <w:i w:val="0"/>
          <w:color w:val="000000"/>
          <w:sz w:val="21"/>
        </w:rPr>
        <w:t>表30-6　以房抵款/债务重组协议要点审查表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审查要点</w:t>
            </w:r>
          </w:p>
        </w:tc>
        <w:tc>
          <w:tcPr>
            <w:tcW w:type="dxa" w:w="340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审查内容</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抵债资产权属</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是否存在抵押、查封、共有权</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□清晰□有瑕疵</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抵债价值评估</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评估价与市场价、变现折扣</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□合理□偏高</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抵债金额与发票</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抵债金额确认、发票开具与税费承担</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□明确□待补</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过户/交付时间</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办理过户或预告登记的期限</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□已约定□无</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违约责任</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不能过户/不配合的赔偿责任</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□已约定□无</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原债务处理</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债务抵销、剩余债务安排</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□已约定□无</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决策审批</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是否经有权机构/集团审批</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□已审批□否</w:t>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注：以房抵款涉及不动产过户税费、司法拍卖限购等，应结合当地政策和律师意见；重大资产处置须履行内部审批。</w:t>
      </w:r>
    </w:p>
    <w:p>
      <w:pPr>
        <w:pStyle w:val="Heading3"/>
        <w:pageBreakBefore/>
        <w:spacing w:before="120"/>
      </w:pPr>
      <w:bookmarkStart w:id="215" w:name="_LarkToc00215"/>
      <w:r>
        <w:t>附件30-7　被执行人财产线索调查与执行案件跟踪表</w:t>
      </w:r>
      <w:bookmarkEnd w:id="215"/>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【用途】胜诉后主动查控财产线索，跟踪执行立案、查控、扣款、分配、终本等节点，长期盯办直至回款。</w:t>
      </w:r>
    </w:p>
    <w:p>
      <w:pPr>
        <w:keepNext/>
        <w:spacing w:before="80" w:after="40" w:line="288" w:lineRule="auto"/>
        <w:ind w:firstLine="0"/>
        <w:jc w:val="center"/>
      </w:pPr>
      <w:r>
        <w:rPr>
          <w:rFonts w:ascii="Times New Roman" w:hAnsi="Times New Roman" w:eastAsia="黑体"/>
          <w:b/>
          <w:i w:val="0"/>
          <w:color w:val="000000"/>
          <w:sz w:val="21"/>
        </w:rPr>
        <w:t>表30-7　执行案件与财产线索跟踪表（金额单位：元）</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执行案件/被执行人</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执行标的</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立案日期</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查控财产</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已执行到位</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未执行余额</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强制措施</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下一步措施</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承办律师/责任人</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（示例）XX置业</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t>12,000,000.00</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□账户□房产□股权</w:t>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□失信□限高</w:t>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申请拍卖</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6"/>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注：发现新财产线索随时提交法院；终结本次执行后，发现财产可申请恢复执行。</w:t>
      </w:r>
    </w:p>
    <w:p>
      <w:pPr>
        <w:pStyle w:val="Heading3"/>
        <w:pageBreakBefore/>
        <w:spacing w:before="120"/>
      </w:pPr>
      <w:bookmarkStart w:id="216" w:name="_LarkToc00216"/>
      <w:r>
        <w:t>附件30-8　破产债权申报与建设工程价款优先权主张表</w:t>
      </w:r>
      <w:bookmarkEnd w:id="216"/>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【用途】对方进入破产程序的，在申报期限内依法申报债权，并书面主张建设工程价款优先受偿权，附证据清单。</w:t>
      </w:r>
    </w:p>
    <w:p>
      <w:pPr>
        <w:keepNext/>
        <w:spacing w:before="80" w:after="40" w:line="288" w:lineRule="auto"/>
        <w:ind w:firstLine="0"/>
        <w:jc w:val="center"/>
      </w:pPr>
      <w:r>
        <w:rPr>
          <w:rFonts w:ascii="Times New Roman" w:hAnsi="Times New Roman" w:eastAsia="黑体"/>
          <w:b/>
          <w:i w:val="0"/>
          <w:color w:val="000000"/>
          <w:sz w:val="21"/>
        </w:rPr>
        <w:t>表30-8　破产债权申报与优先权主张表（金额单位：元）</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内容/金额</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证据材料</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破产受理法院/管理人</w:t>
            </w:r>
          </w:p>
        </w:tc>
        <w:tc>
          <w:tcPr>
            <w:tcW w:type="dxa" w:w="204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受理裁定</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债权申报期限</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公告</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逾期可能失权</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申报债权总额</w:t>
            </w:r>
          </w:p>
        </w:tc>
        <w:tc>
          <w:tcPr>
            <w:tcW w:type="dxa" w:w="204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合同、结算、生效文书</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普通债权</w:t>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其中：建设工程价款</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竣工/结算资料</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不含利息违约金</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主张优先受偿权金额</w:t>
            </w:r>
          </w:p>
        </w:tc>
        <w:tc>
          <w:tcPr>
            <w:tcW w:type="dxa" w:w="204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自应付款日起18个月内</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见第10章</w:t>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是否已起诉/仲裁确认</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生效判决/裁决</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申报日期/回执</w:t>
            </w:r>
          </w:p>
        </w:tc>
        <w:tc>
          <w:tcPr>
            <w:tcW w:type="dxa" w:w="204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管理人回执</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依据：法释〔2020〕25号第38/40/41条：优先受偿以工程质量合格为前提、最长18个月、不含利息违约金；破产债权申报以《企业破产法》及现行司法解释为准。</w:t>
      </w:r>
    </w:p>
    <w:p>
      <w:pPr>
        <w:pStyle w:val="Heading3"/>
        <w:pageBreakBefore/>
        <w:spacing w:before="120"/>
      </w:pPr>
      <w:bookmarkStart w:id="217" w:name="_LarkToc00217"/>
      <w:r>
        <w:t>附件30-9　律师函/催告函/法律意见书模板要点（要素清单）</w:t>
      </w:r>
      <w:bookmarkEnd w:id="217"/>
    </w:p>
    <w:p>
      <w:pPr>
        <w:spacing w:before="0" w:after="40" w:line="312" w:lineRule="auto"/>
        <w:ind w:firstLine="0"/>
        <w:jc w:val="left"/>
      </w:pPr>
      <w:r>
        <w:rPr>
          <w:rFonts w:ascii="Times New Roman" w:hAnsi="Times New Roman" w:eastAsia="宋体"/>
          <w:b w:val="0"/>
          <w:i w:val="0"/>
          <w:color w:val="595959"/>
          <w:sz w:val="18"/>
        </w:rPr>
        <w:t>【归属】第30章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【用途】对外发函前核对必备要素，确保内容明确、主张完整、送达可追溯，既是催收手段也是时效中断证据。</w:t>
      </w:r>
    </w:p>
    <w:p>
      <w:pPr>
        <w:keepNext/>
        <w:spacing w:before="80" w:after="40" w:line="288" w:lineRule="auto"/>
        <w:ind w:firstLine="0"/>
        <w:jc w:val="center"/>
      </w:pPr>
      <w:r>
        <w:rPr>
          <w:rFonts w:ascii="Times New Roman" w:hAnsi="Times New Roman" w:eastAsia="黑体"/>
          <w:b/>
          <w:i w:val="0"/>
          <w:color w:val="000000"/>
          <w:sz w:val="21"/>
        </w:rPr>
        <w:t>表30-9　律师函/催告函/法律意见书要素清单</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340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律师函/催告函</w:t>
            </w:r>
          </w:p>
        </w:tc>
        <w:tc>
          <w:tcPr>
            <w:tcW w:type="dxa" w:w="351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法律意见书</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主体信息</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致送单位全称、统一社会信用代码、地址</w:t>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委托单位、出具机构</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事实陈述</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合同、履约、欠款/违约事实</w:t>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背景事实与争议焦点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法律依据</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合同条款、相关法律</w:t>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适用法律与司法解释</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明确主张</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付款金额、期限、违约金/利息</w:t>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风险判断、结论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权利保留</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保留诉讼、仲裁、优先受偿权</w:t>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建议方案与后果提示</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落款签章</w:t>
            </w:r>
          </w:p>
        </w:tc>
        <w:tc>
          <w:tcPr>
            <w:tcW w:type="dxa" w:w="340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律所盖章、律师签字、日期</w:t>
            </w:r>
          </w:p>
        </w:tc>
        <w:tc>
          <w:tcPr>
            <w:tcW w:type="dxa" w:w="351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签字、盖章、日期</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送达证据</w:t>
            </w:r>
          </w:p>
        </w:tc>
        <w:tc>
          <w:tcPr>
            <w:tcW w:type="dxa" w:w="340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EMS单号、签收回执/公证</w:t>
            </w:r>
          </w:p>
        </w:tc>
        <w:tc>
          <w:tcPr>
            <w:tcW w:type="dxa" w:w="351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内部归档</w:t>
            </w:r>
          </w:p>
        </w:tc>
      </w:tr>
    </w:tbl>
    <w:p>
      <w:pPr>
        <w:spacing w:before="20" w:after="80" w:line="288" w:lineRule="auto"/>
        <w:ind w:firstLine="0"/>
        <w:jc w:val="left"/>
      </w:pPr>
      <w:r>
        <w:rPr>
          <w:rFonts w:ascii="Times New Roman" w:hAnsi="Times New Roman" w:eastAsia="宋体"/>
          <w:b w:val="0"/>
          <w:i w:val="0"/>
          <w:color w:val="404040"/>
          <w:sz w:val="18"/>
        </w:rPr>
        <w:t>注：函件应通过可追溯方式送达并留存签收记录；重大事项的法律意见应由专业律师出具。</w:t>
      </w:r>
    </w:p>
    <w:p>
      <w:pPr>
        <w:pStyle w:val="Heading2"/>
        <w:pageBreakBefore/>
      </w:pPr>
      <w:bookmarkStart w:id="37" w:name="_LarkToc00037"/>
      <w:r>
        <w:t>第31章　安全生产专项深化：危大工程与各专项管控</w:t>
      </w:r>
      <w:bookmarkEnd w:id="37"/>
    </w:p>
    <w:p>
      <w:pPr>
        <w:pStyle w:val="sec_head"/>
      </w:pPr>
      <w:r>
        <w:t>31.1　在安全总框架上“具体问题具体分析”</w:t>
      </w:r>
    </w:p>
    <w:p>
      <w:pPr>
        <w:spacing w:before="0" w:after="0" w:line="360" w:lineRule="auto"/>
        <w:ind w:firstLine="480"/>
        <w:jc w:val="both"/>
      </w:pPr>
      <w:r>
        <w:rPr>
          <w:rFonts w:ascii="Times New Roman" w:hAnsi="Times New Roman" w:eastAsia="宋体"/>
          <w:b w:val="0"/>
          <w:i w:val="0"/>
          <w:color w:val="000000"/>
          <w:sz w:val="24"/>
        </w:rPr>
        <w:t>第7章解决了安全管理的“总框架”——责任制、双重预防、隐患闭环、应急和报告（事故接报后1小时内上报）。本章落实毛泽东同志“具体问题具体分析”的方法，把施工现场最容易群死群伤的危大工程和重点专项，一个一个打通：深基坑、脚手架与模板支撑、起重吊装、临时用电与消防、有限空间动火高处作业、职业健康。原则不变——方案先行、专家论证、验收合格、专人监护，但每个专项的“关键控制点”必须落到检查表上。</w:t>
      </w:r>
    </w:p>
    <w:p>
      <w:pPr>
        <w:pStyle w:val="sec_head"/>
      </w:pPr>
      <w:r>
        <w:t>31.2　专项方案与专家论证：不少于5名专家</w:t>
      </w:r>
    </w:p>
    <w:p>
      <w:pPr>
        <w:spacing w:before="0" w:after="0" w:line="360" w:lineRule="auto"/>
        <w:ind w:firstLine="480"/>
        <w:jc w:val="both"/>
      </w:pPr>
      <w:r>
        <w:rPr>
          <w:rFonts w:ascii="Times New Roman" w:hAnsi="Times New Roman" w:eastAsia="宋体"/>
          <w:b w:val="0"/>
          <w:i w:val="0"/>
          <w:color w:val="000000"/>
          <w:sz w:val="24"/>
        </w:rPr>
        <w:t>危大工程必须编制专项施工方案，经施工单位技术负责人审核签字、总监理工程师审查签字后实施；超过一定规模的危大工程，必须组织不少于5名专家进行论证，论证报告作为方案修改和实施的依据。施工前必须安全技术交底，施工中安排专职安全员现场监督，关键节点（基坑开挖前、支撑安装后、混凝土浇筑前、脚手架验收后）验收合格方可进入下道工序。超规模判定和流程见附件31-1。</w:t>
      </w:r>
    </w:p>
    <w:p>
      <w:pPr>
        <w:spacing w:before="20" w:after="80" w:line="288" w:lineRule="auto"/>
        <w:ind w:firstLine="0"/>
        <w:jc w:val="left"/>
      </w:pPr>
      <w:r>
        <w:rPr>
          <w:rFonts w:ascii="Times New Roman" w:hAnsi="Times New Roman" w:eastAsia="宋体"/>
          <w:b w:val="0"/>
          <w:i w:val="0"/>
          <w:color w:val="404040"/>
          <w:sz w:val="18"/>
        </w:rPr>
        <w:t>依据：《危险性较大的分部分项工程安全管理规定》（住建部令第37号，第47号令修订）：专项方案编审签字、超规模危大专家论证、专家不少于5名。</w:t>
      </w:r>
    </w:p>
    <w:p>
      <w:pPr>
        <w:pStyle w:val="sec_head"/>
      </w:pPr>
      <w:r>
        <w:t>31.3　深基坑：防坍塌是头等大事</w:t>
      </w:r>
    </w:p>
    <w:p>
      <w:pPr>
        <w:spacing w:before="0" w:after="0" w:line="360" w:lineRule="auto"/>
        <w:ind w:firstLine="480"/>
        <w:jc w:val="both"/>
      </w:pPr>
      <w:r>
        <w:rPr>
          <w:rFonts w:ascii="Times New Roman" w:hAnsi="Times New Roman" w:eastAsia="宋体"/>
          <w:b w:val="0"/>
          <w:i w:val="0"/>
          <w:color w:val="000000"/>
          <w:sz w:val="24"/>
        </w:rPr>
        <w:t>深基坑事故多由支护失效、降排水不到位、超挖、堆载过大、监测失控引起。要管住：支护结构按设计施工、严格按分层分段开挖、坡顶限载、临边防护与上下通道、地下水控制（降水/截水/排水）、第三方监测（位移、沉降、地下水位）达到预警值立即停工处置（检查表见附件31-2）。</w:t>
      </w:r>
    </w:p>
    <w:p>
      <w:pPr>
        <w:pStyle w:val="sec_head"/>
      </w:pPr>
      <w:r>
        <w:t>31.4　脚手架、模板支撑与附着升降脚手架</w:t>
      </w:r>
    </w:p>
    <w:p>
      <w:pPr>
        <w:spacing w:before="0" w:after="0" w:line="360" w:lineRule="auto"/>
        <w:ind w:firstLine="480"/>
        <w:jc w:val="both"/>
      </w:pPr>
      <w:r>
        <w:rPr>
          <w:rFonts w:ascii="Times New Roman" w:hAnsi="Times New Roman" w:eastAsia="宋体"/>
          <w:b w:val="0"/>
          <w:i w:val="0"/>
          <w:color w:val="000000"/>
          <w:sz w:val="24"/>
        </w:rPr>
        <w:t>扣件式/承插型脚手架要查基础（平整夯实、排水、垫板）、立杆间距、扫地杆、连墙件、剪刀撑、脚手板和防护栏杆，分段验收挂牌。模板支撑体系（高大模板）要按方案搭设，控制立杆间距、步距、剪刀撑和顶托伸出长度，混凝土浇筑顺序对称均匀，专人监护。附着升降脚手架（爬架）要查防倾、防坠落装置和提升工况（检查表见附件31-3）。</w:t>
      </w:r>
    </w:p>
    <w:p>
      <w:pPr>
        <w:pStyle w:val="sec_head"/>
      </w:pPr>
      <w:r>
        <w:t>31.5　起重机械与起重吊装</w:t>
      </w:r>
    </w:p>
    <w:p>
      <w:pPr>
        <w:spacing w:before="0" w:after="0" w:line="360" w:lineRule="auto"/>
        <w:ind w:firstLine="480"/>
        <w:jc w:val="both"/>
      </w:pPr>
      <w:r>
        <w:rPr>
          <w:rFonts w:ascii="Times New Roman" w:hAnsi="Times New Roman" w:eastAsia="宋体"/>
          <w:b w:val="0"/>
          <w:i w:val="0"/>
          <w:color w:val="000000"/>
          <w:sz w:val="24"/>
        </w:rPr>
        <w:t>塔吊、施工升降机等特种设备必须经有资质单位安拆、检测合格、办理使用登记后方可使用；力矩限制器、起重量限制器、行程限位、防坠安全器等安全装置齐全有效。起重吊装要执行“十不吊”，司索、指挥持证上岗，吊索具定期检查，群塔作业防碰撞，吊装区域设警戒（检查表见附件31-4）。</w:t>
      </w:r>
    </w:p>
    <w:p>
      <w:pPr>
        <w:pStyle w:val="sec_head"/>
      </w:pPr>
      <w:r>
        <w:t>31.6　临时用电与消防</w:t>
      </w:r>
    </w:p>
    <w:p>
      <w:pPr>
        <w:spacing w:before="0" w:after="0" w:line="360" w:lineRule="auto"/>
        <w:ind w:firstLine="480"/>
        <w:jc w:val="both"/>
      </w:pPr>
      <w:r>
        <w:rPr>
          <w:rFonts w:ascii="Times New Roman" w:hAnsi="Times New Roman" w:eastAsia="宋体"/>
          <w:b w:val="0"/>
          <w:i w:val="0"/>
          <w:color w:val="000000"/>
          <w:sz w:val="24"/>
        </w:rPr>
        <w:t>临时用电必须采用TN-S接零保护系统，做到“三级配电、两级保护、一机一闸一漏一箱”，配电箱上锁、有防雨防砸措施，电缆架空或埋地，由持证电工维护。消防要落实动火审批、看火人、灭火器材和临时消防水源，易燃可燃材料分区存放，生活区用电规范（检查表见附件31-5）。</w:t>
      </w:r>
    </w:p>
    <w:p>
      <w:pPr>
        <w:pStyle w:val="sec_head"/>
      </w:pPr>
      <w:r>
        <w:t>31.7　有限空间、动火、高处作业：审批监护、先通风后检测</w:t>
      </w:r>
    </w:p>
    <w:p>
      <w:pPr>
        <w:spacing w:before="0" w:after="0" w:line="360" w:lineRule="auto"/>
        <w:ind w:firstLine="480"/>
        <w:jc w:val="both"/>
      </w:pPr>
      <w:r>
        <w:rPr>
          <w:rFonts w:ascii="Times New Roman" w:hAnsi="Times New Roman" w:eastAsia="宋体"/>
          <w:b w:val="0"/>
          <w:i w:val="0"/>
          <w:color w:val="000000"/>
          <w:sz w:val="24"/>
        </w:rPr>
        <w:t>有限空间作业坚持“先通风、再检测、后作业”，履行审批、设专人监护、配备应急装备，严禁盲目施救——盲目施救是有限空间伤亡扩大的首要原因。动火作业实行动火证、清除周边可燃物、配备灭火器材和看火人。高处作业系挂安全带、高挂低用，落实三宝、四口、五临边防护（审批监护记录见附件31-6）。</w:t>
      </w:r>
    </w:p>
    <w:p>
      <w:pPr>
        <w:pStyle w:val="sec_head"/>
      </w:pPr>
      <w:r>
        <w:t>31.8　职业健康：粉尘、噪声、高温、中毒</w:t>
      </w:r>
    </w:p>
    <w:p>
      <w:pPr>
        <w:spacing w:before="0" w:after="0" w:line="360" w:lineRule="auto"/>
        <w:ind w:firstLine="480"/>
        <w:jc w:val="both"/>
      </w:pPr>
      <w:r>
        <w:rPr>
          <w:rFonts w:ascii="Times New Roman" w:hAnsi="Times New Roman" w:eastAsia="宋体"/>
          <w:b w:val="0"/>
          <w:i w:val="0"/>
          <w:color w:val="000000"/>
          <w:sz w:val="24"/>
        </w:rPr>
        <w:t>要把“不伤人”延伸到“不伤人于无形”。对粉尘（切割、打磨、土方）、噪声（机械、吊装）、高温（夏季露天作业）、有毒有害（油漆、防水、防腐、有限空间）等职业危害，落实工程防护、个体防护、作业时间调整、职业健康检查和警示告知（管理表见附件31-7）。</w:t>
      </w:r>
    </w:p>
    <w:p>
      <w:pPr>
        <w:pStyle w:val="sec_head"/>
      </w:pPr>
      <w:r>
        <w:t>31.9　应急演练与物资：宁可十防九空</w:t>
      </w:r>
    </w:p>
    <w:p>
      <w:pPr>
        <w:spacing w:before="0" w:after="0" w:line="360" w:lineRule="auto"/>
        <w:ind w:firstLine="480"/>
        <w:jc w:val="both"/>
      </w:pPr>
      <w:r>
        <w:rPr>
          <w:rFonts w:ascii="Times New Roman" w:hAnsi="Times New Roman" w:eastAsia="宋体"/>
          <w:b w:val="0"/>
          <w:i w:val="0"/>
          <w:color w:val="000000"/>
          <w:sz w:val="24"/>
        </w:rPr>
        <w:t>在综合应急预案、专项方案和现场处置方案基础上，针对坍塌、高坠、触电、中毒窒息、火灾、起重伤害等组织实战演练，演练后评估改进、补充物资。事故发生后现场人员立即报告，单位负责人接报后1小时内向事故发生地县级以上应急管理部门和有关主管部门报告，不得迟报、漏报、谎报、瞒报（台账见附件31-8）。</w:t>
      </w:r>
    </w:p>
    <w:p>
      <w:pPr>
        <w:spacing w:before="20" w:after="80" w:line="288" w:lineRule="auto"/>
        <w:ind w:firstLine="0"/>
        <w:jc w:val="left"/>
      </w:pPr>
      <w:r>
        <w:rPr>
          <w:rFonts w:ascii="Times New Roman" w:hAnsi="Times New Roman" w:eastAsia="宋体"/>
          <w:b w:val="0"/>
          <w:i w:val="0"/>
          <w:color w:val="404040"/>
          <w:sz w:val="18"/>
        </w:rPr>
        <w:t>依据：《生产安全事故报告和调查处理条例》（国务院令第493号）第九条：单位负责人接报后1小时内报告。</w:t>
      </w:r>
    </w:p>
    <w:p>
      <w:pPr>
        <w:pStyle w:val="sec_head"/>
      </w:pPr>
      <w:r>
        <w:t>31.10　安全教育与持证：不培训不上岗、无证不作业</w:t>
      </w:r>
    </w:p>
    <w:p>
      <w:pPr>
        <w:spacing w:before="0" w:after="0" w:line="360" w:lineRule="auto"/>
        <w:ind w:firstLine="480"/>
        <w:jc w:val="both"/>
      </w:pPr>
      <w:r>
        <w:rPr>
          <w:rFonts w:ascii="Times New Roman" w:hAnsi="Times New Roman" w:eastAsia="宋体"/>
          <w:b w:val="0"/>
          <w:i w:val="0"/>
          <w:color w:val="000000"/>
          <w:sz w:val="24"/>
        </w:rPr>
        <w:t>落实公司、项目、班组三级安全教育，分部分项安全技术交底和班前讲话；特种作业人员（电工、焊工、架子工、起重司机、司索指挥、登高架设等）必须持证上岗并按期复审。教育、交底、持证台账缺一不可（台账见附件31-9）。</w:t>
      </w:r>
    </w:p>
    <w:p>
      <w:pPr>
        <w:pStyle w:val="attach_div"/>
        <w:pageBreakBefore/>
        <w:jc w:val="center"/>
      </w:pPr>
      <w:r>
        <w:t>第31章　章末附件</w:t>
      </w:r>
    </w:p>
    <w:p>
      <w:pPr>
        <w:spacing w:before="0" w:after="0" w:line="360" w:lineRule="auto"/>
        <w:ind w:firstLine="480"/>
        <w:jc w:val="both"/>
      </w:pPr>
      <w:r>
        <w:rPr>
          <w:rFonts w:ascii="Times New Roman" w:hAnsi="Times New Roman" w:eastAsia="宋体"/>
          <w:b w:val="0"/>
          <w:i w:val="0"/>
          <w:color w:val="000000"/>
          <w:sz w:val="24"/>
        </w:rPr>
        <w:t>本页之后为《安全生产专项深化：危大工程与各专项管控》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18" w:name="_LarkToc00218"/>
      <w:r>
        <w:t>附件31-1　危大工程专项方案编审与专家论证流程/台账（含超规模判定）</w:t>
      </w:r>
      <w:bookmarkEnd w:id="218"/>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【用途】开工前辨识危大工程清单并判定是否超过一定规模，逐项走编审、论证、交底、验收流程，关键节点未完成不得转序。</w:t>
      </w:r>
    </w:p>
    <w:p>
      <w:pPr>
        <w:keepNext/>
        <w:spacing w:before="80" w:after="40" w:line="288" w:lineRule="auto"/>
        <w:ind w:firstLine="0"/>
        <w:jc w:val="center"/>
      </w:pPr>
      <w:r>
        <w:rPr>
          <w:rFonts w:ascii="Times New Roman" w:hAnsi="Times New Roman" w:eastAsia="黑体"/>
          <w:b/>
          <w:i w:val="0"/>
          <w:color w:val="000000"/>
          <w:sz w:val="21"/>
        </w:rPr>
        <w:t>表31-1　危大工程清单与专项方案论证台账</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危大工程名称</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是否超规模</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专项方案</w:t>
            </w:r>
          </w:p>
        </w:tc>
        <w:tc>
          <w:tcPr>
            <w:tcW w:type="dxa" w:w="96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专家论证(≥5名)</w:t>
            </w:r>
          </w:p>
        </w:tc>
        <w:tc>
          <w:tcPr>
            <w:tcW w:type="dxa" w:w="85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技术负责人签字</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总监签字</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安全交底</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专人监督</w:t>
            </w:r>
          </w:p>
        </w:tc>
        <w:tc>
          <w:tcPr>
            <w:tcW w:type="dxa" w:w="73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验收日期</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（示例）基坑深度6m支护</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□是□否</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□已编</w:t>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□已论证</w:t>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□已签</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□已签</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□已交</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□已设</w:t>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r>
        <w:trPr>
          <w:cantSplit/>
          <w:trHeight w:val="396" w:hRule="atLeas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96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85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c>
          <w:tcPr>
            <w:tcW w:type="dxa" w:w="73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r>
          </w:p>
        </w:tc>
      </w:tr>
    </w:tbl>
    <w:p>
      <w:pPr>
        <w:spacing w:before="20" w:after="80" w:line="288" w:lineRule="auto"/>
        <w:ind w:firstLine="0"/>
        <w:jc w:val="left"/>
      </w:pPr>
      <w:r>
        <w:rPr>
          <w:rFonts w:ascii="Times New Roman" w:hAnsi="Times New Roman" w:eastAsia="宋体"/>
          <w:b w:val="0"/>
          <w:i w:val="0"/>
          <w:color w:val="404040"/>
          <w:sz w:val="18"/>
        </w:rPr>
        <w:t>依据：住建部令第37号（第47号令修订）；超规模危大工程具体范围以现行《危险性较大的分部分项工程范围》及超过一定规模标准为准。示例行用后删除。</w:t>
      </w:r>
    </w:p>
    <w:p>
      <w:pPr>
        <w:pStyle w:val="Heading3"/>
        <w:pageBreakBefore/>
        <w:spacing w:before="120"/>
      </w:pPr>
      <w:bookmarkStart w:id="219" w:name="_LarkToc00219"/>
      <w:r>
        <w:t>附件31-2　深基坑工程安全专项检查表（支护/降排水/监测/荷载）</w:t>
      </w:r>
      <w:bookmarkEnd w:id="219"/>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【用途】深基坑开挖前及过程中逐项检查，发现支护开裂、渗漏、位移超预警值立即停工撤人。</w:t>
      </w:r>
    </w:p>
    <w:p>
      <w:pPr>
        <w:keepNext/>
        <w:spacing w:before="80" w:after="40" w:line="288" w:lineRule="auto"/>
        <w:ind w:firstLine="0"/>
        <w:jc w:val="center"/>
      </w:pPr>
      <w:r>
        <w:rPr>
          <w:rFonts w:ascii="Times New Roman" w:hAnsi="Times New Roman" w:eastAsia="黑体"/>
          <w:b/>
          <w:i w:val="0"/>
          <w:color w:val="000000"/>
          <w:sz w:val="21"/>
        </w:rPr>
        <w:t>表31-2　深基坑工程安全专项检查表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检查部位/项目</w:t>
            </w:r>
          </w:p>
        </w:tc>
        <w:tc>
          <w:tcPr>
            <w:tcW w:type="dxa" w:w="317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检查要点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问题与整改</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支护结构</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按设计施工，无开裂、变形、漏筋</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开挖方式</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分层分段开挖，不超挖、不扰动基底</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降排水</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降水/截水/排水有效，坑底无积水</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坡顶荷载</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坡顶限载，堆土机械距坑边达标</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临边防护</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防护栏杆、挡脚板、上下通道</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监测</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位移/沉降/水位监测，有预警处置</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周边环境</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邻近建筑、管线沉降观测</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依据：《建筑深基坑工程施工安全技术规范》JGJ 311—2013；具体以现行有效版本及设计方案为准。</w:t>
      </w:r>
    </w:p>
    <w:p>
      <w:pPr>
        <w:pStyle w:val="Heading3"/>
        <w:pageBreakBefore/>
        <w:spacing w:before="120"/>
      </w:pPr>
      <w:bookmarkStart w:id="220" w:name="_LarkToc00220"/>
      <w:r>
        <w:t>附件31-3　脚手架与模板支撑体系（含附着升降脚手架）专项检查表</w:t>
      </w:r>
      <w:bookmarkEnd w:id="220"/>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【用途】脚手架、模板支撑体系分段验收挂牌；高大模板浇筑前必须验收，浇筑时专人监护。</w:t>
      </w:r>
    </w:p>
    <w:p>
      <w:pPr>
        <w:keepNext/>
        <w:spacing w:before="80" w:after="40" w:line="288" w:lineRule="auto"/>
        <w:ind w:firstLine="0"/>
        <w:jc w:val="center"/>
      </w:pPr>
      <w:r>
        <w:rPr>
          <w:rFonts w:ascii="Times New Roman" w:hAnsi="Times New Roman" w:eastAsia="黑体"/>
          <w:b/>
          <w:i w:val="0"/>
          <w:color w:val="000000"/>
          <w:sz w:val="21"/>
        </w:rPr>
        <w:t>表31-3　脚手架与模板支撑体系专项检查表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检查项目</w:t>
            </w:r>
          </w:p>
        </w:tc>
        <w:tc>
          <w:tcPr>
            <w:tcW w:type="dxa" w:w="36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检查要点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脚手架</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基础</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平整夯实、垫板、排水</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脚手架</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杆件</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立杆间距、步距、扫地杆符合方案</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脚手架</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连墙件</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数量、布置牢固，不得随意拆除</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脚手架</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剪刀撑/脚手板</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连续设置，满铺固定</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脚手架</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防护</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栏杆、挡脚板、安全网</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模板支撑</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方案与验收</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有方案、经验收挂牌</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模板支撑</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立杆/顶托</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间距步距达标，顶托伸出长度受限</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模板支撑</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浇筑顺序</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对称均匀浇筑，专人监护</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爬架</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防倾防坠</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防倾、防坠落装置灵敏有效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依据：《建筑施工扣件式钢管脚手架安全技术规范》JGJ 130—2011及模板支撑、附着升降脚手架相关规范，以现行有效版本为准。</w:t>
      </w:r>
    </w:p>
    <w:p>
      <w:pPr>
        <w:pStyle w:val="Heading3"/>
        <w:pageBreakBefore/>
        <w:spacing w:before="120"/>
      </w:pPr>
      <w:bookmarkStart w:id="221" w:name="_LarkToc00221"/>
      <w:r>
        <w:t>附件31-4　起重机械与起重吊装安全专项检查表</w:t>
      </w:r>
      <w:bookmarkEnd w:id="221"/>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【用途】特种设备安拆、检测、登记后使用；吊装作业执行十不吊，司索指挥持证，警戒区设专人。</w:t>
      </w:r>
    </w:p>
    <w:p>
      <w:pPr>
        <w:keepNext/>
        <w:spacing w:before="80" w:after="40" w:line="288" w:lineRule="auto"/>
        <w:ind w:firstLine="0"/>
        <w:jc w:val="center"/>
      </w:pPr>
      <w:r>
        <w:rPr>
          <w:rFonts w:ascii="Times New Roman" w:hAnsi="Times New Roman" w:eastAsia="黑体"/>
          <w:b/>
          <w:i w:val="0"/>
          <w:color w:val="000000"/>
          <w:sz w:val="21"/>
        </w:rPr>
        <w:t>表31-4　起重机械与吊装专项检查表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检查项目</w:t>
            </w:r>
          </w:p>
        </w:tc>
        <w:tc>
          <w:tcPr>
            <w:tcW w:type="dxa" w:w="317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检查要点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安拆与资质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有资质单位安拆、方案交底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检测与登记</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检测合格、办理使用登记</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安全装置</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力矩限制器、限位、防坠器有效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持证上岗</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司机、司索、指挥持证</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吊索具</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钢丝绳、吊钩、卸扣无缺陷</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十不吊</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信号不明、超载、斜拉等不吊</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群塔防碰撞</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低位让高位、塔机间距达标</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8</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警戒与天气</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设警戒区，六级以上风停止吊装</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222" w:name="_LarkToc00222"/>
      <w:r>
        <w:t>附件31-5　施工现场临时用电与消防安全专项检查表</w:t>
      </w:r>
      <w:bookmarkEnd w:id="222"/>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【用途】临电落实三级配电两级保护、一机一闸一漏一箱；消防落实动火审批、看火人和灭火器材。</w:t>
      </w:r>
    </w:p>
    <w:p>
      <w:pPr>
        <w:keepNext/>
        <w:spacing w:before="80" w:after="40" w:line="288" w:lineRule="auto"/>
        <w:ind w:firstLine="0"/>
        <w:jc w:val="center"/>
      </w:pPr>
      <w:r>
        <w:rPr>
          <w:rFonts w:ascii="Times New Roman" w:hAnsi="Times New Roman" w:eastAsia="黑体"/>
          <w:b/>
          <w:i w:val="0"/>
          <w:color w:val="000000"/>
          <w:sz w:val="21"/>
        </w:rPr>
        <w:t>表31-5　临时用电与消防安全专项检查表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检查项目</w:t>
            </w:r>
          </w:p>
        </w:tc>
        <w:tc>
          <w:tcPr>
            <w:tcW w:type="dxa" w:w="3742"/>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检查要点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临电</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接零保护</w:t>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TN-S系统，重复接地可靠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临电</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配电保护</w:t>
            </w:r>
          </w:p>
        </w:tc>
        <w:tc>
          <w:tcPr>
            <w:tcW w:type="dxa" w:w="374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三级配电、两级保护、一机一闸一漏一箱</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临电</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配电箱</w:t>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上锁、防雨、有负责人</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临电</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电缆敷设</w:t>
            </w:r>
          </w:p>
        </w:tc>
        <w:tc>
          <w:tcPr>
            <w:tcW w:type="dxa" w:w="374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架空或埋地，无乱拉乱接</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临电</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电工持证</w:t>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专职电工维护、巡检记录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消防</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动火审批</w:t>
            </w:r>
          </w:p>
        </w:tc>
        <w:tc>
          <w:tcPr>
            <w:tcW w:type="dxa" w:w="374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动火证、看火人、灭火器材</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消防</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易燃材料</w:t>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分区存放、远离火源</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消防</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消防设施</w:t>
            </w:r>
          </w:p>
        </w:tc>
        <w:tc>
          <w:tcPr>
            <w:tcW w:type="dxa" w:w="3742"/>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灭火器、临时消防水源、通道</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生活区</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用电与疏散</w:t>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无私拉乱接、疏散通道畅通</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374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依据：《施工现场临时用电安全技术规范》JGJ 46—2005、《建设工程施工现场消防安全技术规范》GB 50720—2011，以现行有效版本为准。</w:t>
      </w:r>
    </w:p>
    <w:p>
      <w:pPr>
        <w:pStyle w:val="Heading3"/>
        <w:pageBreakBefore/>
        <w:spacing w:before="120"/>
      </w:pPr>
      <w:bookmarkStart w:id="223" w:name="_LarkToc00223"/>
      <w:r>
        <w:t>附件31-6　有限空间、动火、高处作业审批与监护记录表</w:t>
      </w:r>
      <w:bookmarkEnd w:id="223"/>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【用途】三类高风险作业实行作业票审批，先通风检测（有限空间）、专人监护、配备应急装备，严禁盲目施救。</w:t>
      </w:r>
    </w:p>
    <w:p>
      <w:pPr>
        <w:keepNext/>
        <w:spacing w:before="80" w:after="40" w:line="288" w:lineRule="auto"/>
        <w:ind w:firstLine="0"/>
        <w:jc w:val="center"/>
      </w:pPr>
      <w:r>
        <w:rPr>
          <w:rFonts w:ascii="Times New Roman" w:hAnsi="Times New Roman" w:eastAsia="黑体"/>
          <w:b/>
          <w:i w:val="0"/>
          <w:color w:val="000000"/>
          <w:sz w:val="21"/>
        </w:rPr>
        <w:t>表31-6　危险作业审批与监护记录表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作业类型</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作业地点/内容</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审批人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气体检测结果</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监护人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作业人员</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防护装备</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完工验收</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□有限空间□动火□高处</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□齐全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注：有限空间作业必须坚持“先通风、再检测、后作业”，配备应急救援装备，发生险情严禁盲目施救。</w:t>
      </w:r>
    </w:p>
    <w:p>
      <w:pPr>
        <w:pStyle w:val="Heading3"/>
        <w:pageBreakBefore/>
        <w:spacing w:before="120"/>
      </w:pPr>
      <w:bookmarkStart w:id="224" w:name="_LarkToc00224"/>
      <w:r>
        <w:t>附件31-7　职业健康与劳动防护（粉尘/噪声/高温/中毒）管理表</w:t>
      </w:r>
      <w:bookmarkEnd w:id="224"/>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【用途】辨识作业场所职业病危害因素，落实工程防护、个体防护和健康检查，设置警示标识。</w:t>
      </w:r>
    </w:p>
    <w:p>
      <w:pPr>
        <w:keepNext/>
        <w:spacing w:before="80" w:after="40" w:line="288" w:lineRule="auto"/>
        <w:ind w:firstLine="0"/>
        <w:jc w:val="center"/>
      </w:pPr>
      <w:r>
        <w:rPr>
          <w:rFonts w:ascii="Times New Roman" w:hAnsi="Times New Roman" w:eastAsia="黑体"/>
          <w:b/>
          <w:i w:val="0"/>
          <w:color w:val="000000"/>
          <w:sz w:val="21"/>
        </w:rPr>
        <w:t>表31-7　职业危害与劳动防护管理表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危害因素</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主要作业环节</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工程/个体防护措施</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防护用品发放</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接触人员</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健康检查</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警示标识</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粉尘</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切割、打磨、土方</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湿法作业、吸尘、口罩</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□已组织</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□已设</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噪声</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机械、吊装、破碎</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隔声、减震、耳塞</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□已组织</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□已设</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高温</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夏季露天作业</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调整工时、防暑降温饮品</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□已组织</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□已设</w:t>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有毒物质</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油漆、防水、防腐</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通风、防毒面具</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□已组织</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□已设</w:t>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Heading3"/>
        <w:pageBreakBefore/>
        <w:spacing w:before="120"/>
      </w:pPr>
      <w:bookmarkStart w:id="225" w:name="_LarkToc00225"/>
      <w:r>
        <w:t>附件31-8　综合应急预案、专项方案、演练记录与应急物资台账</w:t>
      </w:r>
      <w:bookmarkEnd w:id="225"/>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【用途】预案、物资、演练三位一体；演练后评估改进，事故按1小时报告程序上报。</w:t>
      </w:r>
    </w:p>
    <w:p>
      <w:pPr>
        <w:keepNext/>
        <w:spacing w:before="80" w:after="40" w:line="288" w:lineRule="auto"/>
        <w:ind w:firstLine="0"/>
        <w:jc w:val="center"/>
      </w:pPr>
      <w:r>
        <w:rPr>
          <w:rFonts w:ascii="Times New Roman" w:hAnsi="Times New Roman" w:eastAsia="黑体"/>
          <w:b/>
          <w:i w:val="0"/>
          <w:color w:val="000000"/>
          <w:sz w:val="21"/>
        </w:rPr>
        <w:t>表31-8-1　应急演练记录表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演练科目</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演练日期</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演练形式</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参加人数</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存在问题</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改进措施</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评估人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□坍塌□高坠□触电□中毒□火灾</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□桌面□实战</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表31-8-2　应急物资台账</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物资名称</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存放地点</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检查情况</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□完好□缺失</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pStyle w:val="Heading3"/>
        <w:pageBreakBefore/>
        <w:spacing w:before="120"/>
      </w:pPr>
      <w:bookmarkStart w:id="226" w:name="_LarkToc00226"/>
      <w:r>
        <w:t>附件31-9　安全教育培训（三级教育/班前/特种作业持证）台账</w:t>
      </w:r>
      <w:bookmarkEnd w:id="226"/>
    </w:p>
    <w:p>
      <w:pPr>
        <w:spacing w:before="0" w:after="40" w:line="312" w:lineRule="auto"/>
        <w:ind w:firstLine="0"/>
        <w:jc w:val="left"/>
      </w:pPr>
      <w:r>
        <w:rPr>
          <w:rFonts w:ascii="Times New Roman" w:hAnsi="Times New Roman" w:eastAsia="宋体"/>
          <w:b w:val="0"/>
          <w:i w:val="0"/>
          <w:color w:val="595959"/>
          <w:sz w:val="18"/>
        </w:rPr>
        <w:t>【归属】第31章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【用途】未教育不得上岗、无证不得作业；三级教育、分部分项交底、班前讲话和特种作业持证逐项留痕。</w:t>
      </w:r>
    </w:p>
    <w:p>
      <w:pPr>
        <w:keepNext/>
        <w:spacing w:before="80" w:after="40" w:line="288" w:lineRule="auto"/>
        <w:ind w:firstLine="0"/>
        <w:jc w:val="center"/>
      </w:pPr>
      <w:r>
        <w:rPr>
          <w:rFonts w:ascii="Times New Roman" w:hAnsi="Times New Roman" w:eastAsia="黑体"/>
          <w:b/>
          <w:i w:val="0"/>
          <w:color w:val="000000"/>
          <w:sz w:val="21"/>
        </w:rPr>
        <w:t>表31-9-1　三级安全教育与特种作业持证台账</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姓名</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工种</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三级教育（公司/项目/班组）</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考核</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特种作业证号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复审有效期至</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本人签字</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□电工□焊工□架子工□起重</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□已完成</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keepNext/>
        <w:spacing w:before="80" w:after="40" w:line="288" w:lineRule="auto"/>
        <w:ind w:firstLine="0"/>
        <w:jc w:val="center"/>
      </w:pPr>
      <w:r>
        <w:rPr>
          <w:rFonts w:ascii="Times New Roman" w:hAnsi="Times New Roman" w:eastAsia="黑体"/>
          <w:b/>
          <w:i w:val="0"/>
          <w:color w:val="000000"/>
          <w:sz w:val="21"/>
        </w:rPr>
        <w:t>表31-9-2　班前安全讲话记录</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作业部位</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讲话主要内容（危险源、防护）</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讲话人</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参加班组</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签字</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2"/>
        <w:pageBreakBefore/>
      </w:pPr>
      <w:bookmarkStart w:id="38" w:name="_LarkToc00038"/>
      <w:r>
        <w:t>第32章　绿色文明施工与环境保护</w:t>
      </w:r>
      <w:bookmarkEnd w:id="38"/>
    </w:p>
    <w:p>
      <w:pPr>
        <w:pStyle w:val="sec_head"/>
      </w:pPr>
      <w:r>
        <w:t>32.1　绿色施工既是合规账，也是政治账和形象账</w:t>
      </w:r>
    </w:p>
    <w:p>
      <w:pPr>
        <w:spacing w:before="0" w:after="0" w:line="360" w:lineRule="auto"/>
        <w:ind w:firstLine="480"/>
        <w:jc w:val="both"/>
      </w:pPr>
      <w:r>
        <w:rPr>
          <w:rFonts w:ascii="Times New Roman" w:hAnsi="Times New Roman" w:eastAsia="宋体"/>
          <w:b w:val="0"/>
          <w:i w:val="0"/>
          <w:color w:val="000000"/>
          <w:sz w:val="24"/>
        </w:rPr>
        <w:t>“绿水青山就是金山银山”。施工现场的扬尘、噪声、污水、渣土，直接影响周边居民和城市环境，也是各级督查、媒体关注的焦点。一旦扬尘超标、夜间扰民、渣土遗撒，轻则停工整改、罚款，重则被通报、限制承接工程。绿色文明施工不是额外负担，而是企业管理水平和社会责任的展示，要在策划阶段就把“四节一环保”写进施工组织设计，落到日常检查的每一张表上。</w:t>
      </w:r>
    </w:p>
    <w:p>
      <w:pPr>
        <w:pStyle w:val="sec_head"/>
      </w:pPr>
      <w:r>
        <w:t>32.2　绿色施工：“四节一环保”</w:t>
      </w:r>
    </w:p>
    <w:p>
      <w:pPr>
        <w:spacing w:before="0" w:after="0" w:line="360" w:lineRule="auto"/>
        <w:ind w:firstLine="480"/>
        <w:jc w:val="both"/>
      </w:pPr>
      <w:r>
        <w:rPr>
          <w:rFonts w:ascii="Times New Roman" w:hAnsi="Times New Roman" w:eastAsia="宋体"/>
          <w:b w:val="0"/>
          <w:i w:val="0"/>
          <w:color w:val="000000"/>
          <w:sz w:val="24"/>
        </w:rPr>
        <w:t>绿色施工围绕节能、节水、节材、节地和环境保护展开：节材推广周转材料、装配式和工厂化加工；节水循环利用养护、降尘用水，设置沉淀池；节能使用节能设备、LED照明、合理安排机械班次；节地紧凑布置临设、保护周边植被。项目应设定量化指标并逐月对比（指标表见附件32-1）。</w:t>
      </w:r>
    </w:p>
    <w:p>
      <w:pPr>
        <w:spacing w:before="20" w:after="80" w:line="288" w:lineRule="auto"/>
        <w:ind w:firstLine="0"/>
        <w:jc w:val="left"/>
      </w:pPr>
      <w:r>
        <w:rPr>
          <w:rFonts w:ascii="Times New Roman" w:hAnsi="Times New Roman" w:eastAsia="宋体"/>
          <w:b w:val="0"/>
          <w:i w:val="0"/>
          <w:color w:val="404040"/>
          <w:sz w:val="18"/>
        </w:rPr>
        <w:t>依据：《建筑工程绿色施工规范》GB/T 50905—2014、《建筑工程绿色施工评价标准》GB/T 50640—2010，以现行有效版本为准。</w:t>
      </w:r>
    </w:p>
    <w:p>
      <w:pPr>
        <w:pStyle w:val="sec_head"/>
      </w:pPr>
      <w:r>
        <w:t>32.3　扬尘防治：“六个百分之百”</w:t>
      </w:r>
    </w:p>
    <w:p>
      <w:pPr>
        <w:spacing w:before="0" w:after="0" w:line="360" w:lineRule="auto"/>
        <w:ind w:firstLine="480"/>
        <w:jc w:val="both"/>
      </w:pPr>
      <w:r>
        <w:rPr>
          <w:rFonts w:ascii="Times New Roman" w:hAnsi="Times New Roman" w:eastAsia="宋体"/>
          <w:b w:val="0"/>
          <w:i w:val="0"/>
          <w:color w:val="000000"/>
          <w:sz w:val="24"/>
        </w:rPr>
        <w:t>扬尘防治要刚性落实“六个百分之百”：工地周边百分之百围挡、物料堆放百分之百覆盖、出入车辆百分之百冲洗、施工现场地面百分之百硬化、拆迁工地百分之百湿法作业、渣土车辆百分之百密闭运输。主干道和作业区定时喷淋洒水，安装在线监测并与主管部门联网（检查表见附件32-2）。</w:t>
      </w:r>
    </w:p>
    <w:p>
      <w:pPr>
        <w:pStyle w:val="sec_head"/>
      </w:pPr>
      <w:r>
        <w:t>32.4　施工噪声与夜间施工</w:t>
      </w:r>
    </w:p>
    <w:p>
      <w:pPr>
        <w:spacing w:before="0" w:after="0" w:line="360" w:lineRule="auto"/>
        <w:ind w:firstLine="480"/>
        <w:jc w:val="both"/>
      </w:pPr>
      <w:r>
        <w:rPr>
          <w:rFonts w:ascii="Times New Roman" w:hAnsi="Times New Roman" w:eastAsia="宋体"/>
          <w:b w:val="0"/>
          <w:i w:val="0"/>
          <w:color w:val="000000"/>
          <w:sz w:val="24"/>
        </w:rPr>
        <w:t>建筑施工场界噪声执行《建筑施工噪声排放标准》GB 12523—2025：昼间不超过70分贝、夜间不超过55分贝，夜间为22:00至次日6:00。因工艺要求或特殊需要夜间连续作业的，应办理夜间施工许可并向周边居民公告，优先安排低噪声设备、合理布置强噪声机械、采取隔声降噪措施（记录见表32-3）。</w:t>
      </w:r>
    </w:p>
    <w:p>
      <w:pPr>
        <w:spacing w:before="20" w:after="80" w:line="288" w:lineRule="auto"/>
        <w:ind w:firstLine="0"/>
        <w:jc w:val="left"/>
      </w:pPr>
      <w:r>
        <w:rPr>
          <w:rFonts w:ascii="Times New Roman" w:hAnsi="Times New Roman" w:eastAsia="宋体"/>
          <w:b w:val="0"/>
          <w:i w:val="0"/>
          <w:color w:val="404040"/>
          <w:sz w:val="18"/>
        </w:rPr>
        <w:t>依据：《建筑施工噪声排放标准》GB 12523—2025（场界昼间70、夜间55 dB(A)，夜间22:00至次日6:00）；具体以现行有效版本及项目所在地生态环境、城管部门要求为准。</w:t>
      </w:r>
    </w:p>
    <w:p>
      <w:pPr>
        <w:pStyle w:val="sec_head"/>
      </w:pPr>
      <w:r>
        <w:t>32.5　施工污水、泥浆与废水</w:t>
      </w:r>
    </w:p>
    <w:p>
      <w:pPr>
        <w:spacing w:before="0" w:after="0" w:line="360" w:lineRule="auto"/>
        <w:ind w:firstLine="480"/>
        <w:jc w:val="both"/>
      </w:pPr>
      <w:r>
        <w:rPr>
          <w:rFonts w:ascii="Times New Roman" w:hAnsi="Times New Roman" w:eastAsia="宋体"/>
          <w:b w:val="0"/>
          <w:i w:val="0"/>
          <w:color w:val="000000"/>
          <w:sz w:val="24"/>
        </w:rPr>
        <w:t>现场必须设置排水沟和三级沉淀池，施工废水、泥浆水经沉淀处理达标后排放或循环使用，严禁未经处理直排市政管网或河道；泥浆采用密闭罐车外运，不得漫流；食堂设隔油池、生活区生活污水按规定处理（管理表见附件32-4）。</w:t>
      </w:r>
    </w:p>
    <w:p>
      <w:pPr>
        <w:pStyle w:val="sec_head"/>
      </w:pPr>
      <w:r>
        <w:t>32.6　建筑垃圾与工程渣土</w:t>
      </w:r>
    </w:p>
    <w:p>
      <w:pPr>
        <w:spacing w:before="0" w:after="0" w:line="360" w:lineRule="auto"/>
        <w:ind w:firstLine="480"/>
        <w:jc w:val="both"/>
      </w:pPr>
      <w:r>
        <w:rPr>
          <w:rFonts w:ascii="Times New Roman" w:hAnsi="Times New Roman" w:eastAsia="宋体"/>
          <w:b w:val="0"/>
          <w:i w:val="0"/>
          <w:color w:val="000000"/>
          <w:sz w:val="24"/>
        </w:rPr>
        <w:t>建筑垃圾分类存放、分类外运，委托有资质的运输和消纳单位，办理渣土处置手续，车辆密闭、冲洗后方可出场，严禁遗撒和乱倒。要逐车登记产生量、外运量和消纳去向，做到“来源可溯、去向可查”（台账见附件32-5）。</w:t>
      </w:r>
    </w:p>
    <w:p>
      <w:pPr>
        <w:pStyle w:val="sec_head"/>
      </w:pPr>
      <w:r>
        <w:t>32.7　文明工地与CI形象</w:t>
      </w:r>
    </w:p>
    <w:p>
      <w:pPr>
        <w:spacing w:before="0" w:after="0" w:line="360" w:lineRule="auto"/>
        <w:ind w:firstLine="480"/>
        <w:jc w:val="both"/>
      </w:pPr>
      <w:r>
        <w:rPr>
          <w:rFonts w:ascii="Times New Roman" w:hAnsi="Times New Roman" w:eastAsia="宋体"/>
          <w:b w:val="0"/>
          <w:i w:val="0"/>
          <w:color w:val="000000"/>
          <w:sz w:val="24"/>
        </w:rPr>
        <w:t>实行封闭管理，围挡坚固美观、大门整洁，场内道路硬化畅通，材料堆放整齐挂牌，办公生活区整洁卫生，按企业CI标准设置“五牌一图”和安全文明标识。文明工地创建既是检查要求，也是企业品牌（检查表见附件32-6）。</w:t>
      </w:r>
    </w:p>
    <w:p>
      <w:pPr>
        <w:pStyle w:val="sec_head"/>
      </w:pPr>
      <w:r>
        <w:t>32.8　在线监测与重污染天气应急</w:t>
      </w:r>
    </w:p>
    <w:p>
      <w:pPr>
        <w:spacing w:before="0" w:after="0" w:line="360" w:lineRule="auto"/>
        <w:ind w:firstLine="480"/>
        <w:jc w:val="both"/>
      </w:pPr>
      <w:r>
        <w:rPr>
          <w:rFonts w:ascii="Times New Roman" w:hAnsi="Times New Roman" w:eastAsia="宋体"/>
          <w:b w:val="0"/>
          <w:i w:val="0"/>
          <w:color w:val="000000"/>
          <w:sz w:val="24"/>
        </w:rPr>
        <w:t>按要求安装扬尘、噪声在线监测设备并联网，数据超标自动喷淋、及时处置。接到重污染天气预警（黄色、橙色、红色）时，按响应级别落实停止土方、停止喷涂、增加洒水、覆盖等应急措施，并留存响应记录（记录表见附件32-7）。</w:t>
      </w:r>
    </w:p>
    <w:p>
      <w:pPr>
        <w:pStyle w:val="attach_div"/>
        <w:pageBreakBefore/>
        <w:jc w:val="center"/>
      </w:pPr>
      <w:r>
        <w:t>第32章　章末附件</w:t>
      </w:r>
    </w:p>
    <w:p>
      <w:pPr>
        <w:spacing w:before="0" w:after="0" w:line="360" w:lineRule="auto"/>
        <w:ind w:firstLine="480"/>
        <w:jc w:val="both"/>
      </w:pPr>
      <w:r>
        <w:rPr>
          <w:rFonts w:ascii="Times New Roman" w:hAnsi="Times New Roman" w:eastAsia="宋体"/>
          <w:b w:val="0"/>
          <w:i w:val="0"/>
          <w:color w:val="000000"/>
          <w:sz w:val="24"/>
        </w:rPr>
        <w:t>本页之后为《绿色文明施工与环境保护》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27" w:name="_LarkToc00227"/>
      <w:r>
        <w:t>附件32-1　绿色施工策划与节能节水节材节地指标表</w:t>
      </w:r>
      <w:bookmarkEnd w:id="227"/>
    </w:p>
    <w:p>
      <w:pPr>
        <w:spacing w:before="0" w:after="40" w:line="312" w:lineRule="auto"/>
        <w:ind w:firstLine="0"/>
        <w:jc w:val="left"/>
      </w:pPr>
      <w:r>
        <w:rPr>
          <w:rFonts w:ascii="Times New Roman" w:hAnsi="Times New Roman" w:eastAsia="宋体"/>
          <w:b w:val="0"/>
          <w:i w:val="0"/>
          <w:color w:val="595959"/>
          <w:sz w:val="18"/>
        </w:rPr>
        <w:t>【归属】第32章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【用途】开工前设定四节一环保量化指标，逐月对比实际消耗，分析偏差并改进。</w:t>
      </w:r>
    </w:p>
    <w:p>
      <w:pPr>
        <w:keepNext/>
        <w:spacing w:before="80" w:after="40" w:line="288" w:lineRule="auto"/>
        <w:ind w:firstLine="0"/>
        <w:jc w:val="center"/>
      </w:pPr>
      <w:r>
        <w:rPr>
          <w:rFonts w:ascii="Times New Roman" w:hAnsi="Times New Roman" w:eastAsia="黑体"/>
          <w:b/>
          <w:i w:val="0"/>
          <w:color w:val="000000"/>
          <w:sz w:val="21"/>
        </w:rPr>
        <w:t>表32-1　绿色施工“四节一环保”指标与实施表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控制指标</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策划目标</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本月实际</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累计实际</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对比</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措施</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节能</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施工用电（kWh/万元产值）</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□优□差</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节水</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施工用水（m³/万元产值）</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□优□差</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循环用水</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节材</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主材损耗率、周转材料复用率</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□优□差</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节地</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临设占地面积、临时用地复垦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□优□差</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环保</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扬尘、噪声、污水达标率</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100%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□优□差</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（示例）混凝土养护</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采用养护剂+喷淋，节水</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节水20.00%</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□优</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注：指标可结合企业绿色施工目标和项目所在地要求设定；示例行仅说明填写方法，使用时删除。</w:t>
      </w:r>
    </w:p>
    <w:p>
      <w:pPr>
        <w:pStyle w:val="Heading3"/>
        <w:pageBreakBefore/>
        <w:spacing w:before="120"/>
      </w:pPr>
      <w:bookmarkStart w:id="228" w:name="_LarkToc00228"/>
      <w:r>
        <w:t>附件32-2　扬尘污染防治“六个百分百”落实检查表</w:t>
      </w:r>
      <w:bookmarkEnd w:id="228"/>
    </w:p>
    <w:p>
      <w:pPr>
        <w:spacing w:before="0" w:after="40" w:line="312" w:lineRule="auto"/>
        <w:ind w:firstLine="0"/>
        <w:jc w:val="left"/>
      </w:pPr>
      <w:r>
        <w:rPr>
          <w:rFonts w:ascii="Times New Roman" w:hAnsi="Times New Roman" w:eastAsia="宋体"/>
          <w:b w:val="0"/>
          <w:i w:val="0"/>
          <w:color w:val="595959"/>
          <w:sz w:val="18"/>
        </w:rPr>
        <w:t>【归属】第32章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【用途】日常和专项检查逐项打勾，任一项不达标立即整改；在线监测数据超标自动报警。</w:t>
      </w:r>
    </w:p>
    <w:p>
      <w:pPr>
        <w:keepNext/>
        <w:spacing w:before="80" w:after="40" w:line="288" w:lineRule="auto"/>
        <w:ind w:firstLine="0"/>
        <w:jc w:val="center"/>
      </w:pPr>
      <w:r>
        <w:rPr>
          <w:rFonts w:ascii="Times New Roman" w:hAnsi="Times New Roman" w:eastAsia="黑体"/>
          <w:b/>
          <w:i w:val="0"/>
          <w:color w:val="000000"/>
          <w:sz w:val="21"/>
        </w:rPr>
        <w:t>表32-2　扬尘“六个百分百”落实检查表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检查项</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标准</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问题与整改</w:t>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工地周边围挡</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100%连续硬质围挡</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物料堆放覆盖</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100%覆盖（密目网/防尘布）</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出入车辆冲洗</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100%冲洗，设冲洗设施</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场地地面硬化</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主要道路、作业区100%硬化</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拆迁/土方湿法作业</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100%湿法（喷淋/洒水）</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渣土车辆密闭运输</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100%密闭、不带泥上路</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□符合□否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229" w:name="_LarkToc00229"/>
      <w:r>
        <w:t>附件32-3　施工噪声控制与夜间施工许可/公示记录表</w:t>
      </w:r>
      <w:bookmarkEnd w:id="229"/>
    </w:p>
    <w:p>
      <w:pPr>
        <w:spacing w:before="0" w:after="40" w:line="312" w:lineRule="auto"/>
        <w:ind w:firstLine="0"/>
        <w:jc w:val="left"/>
      </w:pPr>
      <w:r>
        <w:rPr>
          <w:rFonts w:ascii="Times New Roman" w:hAnsi="Times New Roman" w:eastAsia="宋体"/>
          <w:b w:val="0"/>
          <w:i w:val="0"/>
          <w:color w:val="595959"/>
          <w:sz w:val="18"/>
        </w:rPr>
        <w:t>【归属】第32章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【用途】监测场界噪声，夜间施工须办理许可并公告周边居民；超标立即采取降噪措施。</w:t>
      </w:r>
    </w:p>
    <w:p>
      <w:pPr>
        <w:keepNext/>
        <w:spacing w:before="80" w:after="40" w:line="288" w:lineRule="auto"/>
        <w:ind w:firstLine="0"/>
        <w:jc w:val="center"/>
      </w:pPr>
      <w:r>
        <w:rPr>
          <w:rFonts w:ascii="Times New Roman" w:hAnsi="Times New Roman" w:eastAsia="黑体"/>
          <w:b/>
          <w:i w:val="0"/>
          <w:color w:val="000000"/>
          <w:sz w:val="21"/>
        </w:rPr>
        <w:t>表32-3　噪声监测与夜间施工管理表</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监测日期</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时段</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测点位置</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等效声级dB(A)</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限值</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是否达标</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夜间施工许可</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居民公示</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处理措施</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□昼□夜</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昼70/夜55</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□有□无</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□已公示</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（示例）2026-07-10</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夜</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场界北</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52.00</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55</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□已公示</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依据：GB 12523—2025（昼70、夜55 dB(A)，夜间22:00—次日6:00）；夜间施工许可及公告要求以项目所在地生态环境、城管部门规定为准。示例行用后删除。</w:t>
      </w:r>
    </w:p>
    <w:p>
      <w:pPr>
        <w:pStyle w:val="Heading3"/>
        <w:pageBreakBefore/>
        <w:spacing w:before="120"/>
      </w:pPr>
      <w:bookmarkStart w:id="230" w:name="_LarkToc00230"/>
      <w:r>
        <w:t>附件32-4　施工污水、泥浆与废水排放管理表</w:t>
      </w:r>
      <w:bookmarkEnd w:id="230"/>
    </w:p>
    <w:p>
      <w:pPr>
        <w:spacing w:before="0" w:after="40" w:line="312" w:lineRule="auto"/>
        <w:ind w:firstLine="0"/>
        <w:jc w:val="left"/>
      </w:pPr>
      <w:r>
        <w:rPr>
          <w:rFonts w:ascii="Times New Roman" w:hAnsi="Times New Roman" w:eastAsia="宋体"/>
          <w:b w:val="0"/>
          <w:i w:val="0"/>
          <w:color w:val="595959"/>
          <w:sz w:val="18"/>
        </w:rPr>
        <w:t>【归属】第32章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【用途】现场设排水沟和三级沉淀池，废水沉淀达标后排放或回用；泥浆密闭外运，严禁直排。</w:t>
      </w:r>
    </w:p>
    <w:p>
      <w:pPr>
        <w:keepNext/>
        <w:spacing w:before="80" w:after="40" w:line="288" w:lineRule="auto"/>
        <w:ind w:firstLine="0"/>
        <w:jc w:val="center"/>
      </w:pPr>
      <w:r>
        <w:rPr>
          <w:rFonts w:ascii="Times New Roman" w:hAnsi="Times New Roman" w:eastAsia="黑体"/>
          <w:b/>
          <w:i w:val="0"/>
          <w:color w:val="000000"/>
          <w:sz w:val="21"/>
        </w:rPr>
        <w:t>表32-4　污水、泥浆与废水排放管理表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废水/污水类型</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处理设施</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排放去向</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监测/检测</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是否达标</w:t>
            </w:r>
          </w:p>
        </w:tc>
        <w:tc>
          <w:tcPr>
            <w:tcW w:type="dxa" w:w="17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问题与整改</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施工废水、降水</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三级沉淀池</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□回用□达标排放</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□pH□SS</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钻孔泥浆</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泥浆池+密闭罐车外运</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运至消纳点</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□联单</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5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食堂污水</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隔油池</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接入市政管网</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□定期清掏</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生活污水</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化粪池/一体化处理</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接入市政管网</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□定期清掏</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5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3"/>
        <w:pageBreakBefore/>
        <w:spacing w:before="120"/>
      </w:pPr>
      <w:bookmarkStart w:id="231" w:name="_LarkToc00231"/>
      <w:r>
        <w:t>附件32-5　建筑垃圾（工程渣土）产生、外运与处置台账</w:t>
      </w:r>
      <w:bookmarkEnd w:id="231"/>
    </w:p>
    <w:p>
      <w:pPr>
        <w:spacing w:before="0" w:after="40" w:line="312" w:lineRule="auto"/>
        <w:ind w:firstLine="0"/>
        <w:jc w:val="left"/>
      </w:pPr>
      <w:r>
        <w:rPr>
          <w:rFonts w:ascii="Times New Roman" w:hAnsi="Times New Roman" w:eastAsia="宋体"/>
          <w:b w:val="0"/>
          <w:i w:val="0"/>
          <w:color w:val="595959"/>
          <w:sz w:val="18"/>
        </w:rPr>
        <w:t>【归属】第32章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【用途】委托有资质单位运输消纳，逐车登记；车辆冲洗密闭后方可出场，严禁遗撒乱倒。</w:t>
      </w:r>
    </w:p>
    <w:p>
      <w:pPr>
        <w:keepNext/>
        <w:spacing w:before="80" w:after="40" w:line="288" w:lineRule="auto"/>
        <w:ind w:firstLine="0"/>
        <w:jc w:val="center"/>
      </w:pPr>
      <w:r>
        <w:rPr>
          <w:rFonts w:ascii="Times New Roman" w:hAnsi="Times New Roman" w:eastAsia="黑体"/>
          <w:b/>
          <w:i w:val="0"/>
          <w:color w:val="000000"/>
          <w:sz w:val="21"/>
        </w:rPr>
        <w:t>表32-5　建筑垃圾（渣土）外运处置台账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垃圾/渣土类型</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产生量(m³/t)</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运输单位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车牌号</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消纳场所</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处置联单编号</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经办人</w:t>
            </w:r>
          </w:p>
        </w:tc>
      </w:tr>
      <w:tr>
        <w:trPr>
          <w:cantSpli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（示例）2026-07-12</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开挖土方</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80.00</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XX渣土公司</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浙E·XXXXX</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指定消纳场</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ZD-2026-001</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注：数量保留两位小数；渣土处置须办理相关手续，联单与消纳场所资质留存备查。示例行用后删除。</w:t>
      </w:r>
    </w:p>
    <w:p>
      <w:pPr>
        <w:pStyle w:val="Heading3"/>
        <w:pageBreakBefore/>
        <w:spacing w:before="120"/>
      </w:pPr>
      <w:bookmarkStart w:id="232" w:name="_LarkToc00232"/>
      <w:r>
        <w:t>附件32-6　文明工地（围挡/道路/生活区/CI）创建检查表</w:t>
      </w:r>
      <w:bookmarkEnd w:id="232"/>
    </w:p>
    <w:p>
      <w:pPr>
        <w:spacing w:before="0" w:after="40" w:line="312" w:lineRule="auto"/>
        <w:ind w:firstLine="0"/>
        <w:jc w:val="left"/>
      </w:pPr>
      <w:r>
        <w:rPr>
          <w:rFonts w:ascii="Times New Roman" w:hAnsi="Times New Roman" w:eastAsia="宋体"/>
          <w:b w:val="0"/>
          <w:i w:val="0"/>
          <w:color w:val="595959"/>
          <w:sz w:val="18"/>
        </w:rPr>
        <w:t>【归属】第32章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【用途】按文明工地标准定期自查，围挡、道路、材料、生活区、CI标识逐项达标。</w:t>
      </w:r>
    </w:p>
    <w:p>
      <w:pPr>
        <w:keepNext/>
        <w:spacing w:before="80" w:after="40" w:line="288" w:lineRule="auto"/>
        <w:ind w:firstLine="0"/>
        <w:jc w:val="center"/>
      </w:pPr>
      <w:r>
        <w:rPr>
          <w:rFonts w:ascii="Times New Roman" w:hAnsi="Times New Roman" w:eastAsia="黑体"/>
          <w:b/>
          <w:i w:val="0"/>
          <w:color w:val="000000"/>
          <w:sz w:val="21"/>
        </w:rPr>
        <w:t>表32-6　文明工地创建检查表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检查项目</w:t>
            </w:r>
          </w:p>
        </w:tc>
        <w:tc>
          <w:tcPr>
            <w:tcW w:type="dxa" w:w="317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标准</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问题与整改</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围挡与大门</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连续、坚固、美观，大门整洁</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场内道路</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硬化、畅通、清洁</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材料堆放</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分类码放、挂牌、覆盖</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五牌一图</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设置齐全、位置醒目</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办公生活区</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整洁卫生、消防达标</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6</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CI形象</w:t>
            </w:r>
          </w:p>
        </w:tc>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按企业统一标识</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7</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封闭管理</w:t>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人员车辆进出登记</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Heading3"/>
        <w:pageBreakBefore/>
        <w:spacing w:before="120"/>
      </w:pPr>
      <w:bookmarkStart w:id="233" w:name="_LarkToc00233"/>
      <w:r>
        <w:t>附件32-7　环境在线监测与重污染天气应急响应记录表</w:t>
      </w:r>
      <w:bookmarkEnd w:id="233"/>
    </w:p>
    <w:p>
      <w:pPr>
        <w:spacing w:before="0" w:after="40" w:line="312" w:lineRule="auto"/>
        <w:ind w:firstLine="0"/>
        <w:jc w:val="left"/>
      </w:pPr>
      <w:r>
        <w:rPr>
          <w:rFonts w:ascii="Times New Roman" w:hAnsi="Times New Roman" w:eastAsia="宋体"/>
          <w:b w:val="0"/>
          <w:i w:val="0"/>
          <w:color w:val="595959"/>
          <w:sz w:val="18"/>
        </w:rPr>
        <w:t>【归属】第32章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【用途】在线监测数据超标自动报警处置；接到重污染天气预警按级别落实应急措施并留痕。</w:t>
      </w:r>
    </w:p>
    <w:p>
      <w:pPr>
        <w:keepNext/>
        <w:spacing w:before="80" w:after="40" w:line="288" w:lineRule="auto"/>
        <w:ind w:firstLine="0"/>
        <w:jc w:val="center"/>
      </w:pPr>
      <w:r>
        <w:rPr>
          <w:rFonts w:ascii="Times New Roman" w:hAnsi="Times New Roman" w:eastAsia="黑体"/>
          <w:b/>
          <w:i w:val="0"/>
          <w:color w:val="000000"/>
          <w:sz w:val="21"/>
        </w:rPr>
        <w:t>表32-7　在线监测与重污染天气应急响应记录表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日期</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PM10/PM2.5/噪声监测值</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是否报警</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预警级别</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应急措施</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响应起止时间</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□蓝□黄□橙□红</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□停土方□增洒水□覆盖□停喷涂</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（示例）2026-08-15</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PM10 158μg/m³</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□黄</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增加洒水、土方覆盖</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注：在线监测设备应按要求与主管部门联网；重污染天气应急响应级别和措施以项目所在地重污染天气应急预案为准。示例行用后删除。</w:t>
      </w:r>
    </w:p>
    <w:p>
      <w:pPr>
        <w:pStyle w:val="Heading1"/>
      </w:pPr>
      <w:bookmarkStart w:id="39" w:name="_LarkToc00039"/>
      <w:r>
        <w:t>第七篇　新业务篇——突围转型的新战场</w:t>
      </w:r>
      <w:bookmarkEnd w:id="39"/>
    </w:p>
    <w:p>
      <w:pPr>
        <w:spacing w:before="0" w:after="0" w:line="360" w:lineRule="auto"/>
        <w:ind w:firstLine="480"/>
        <w:jc w:val="both"/>
      </w:pPr>
      <w:r>
        <w:rPr>
          <w:rFonts w:ascii="Times New Roman" w:hAnsi="Times New Roman" w:eastAsia="宋体"/>
          <w:b w:val="0"/>
          <w:i w:val="0"/>
          <w:color w:val="000000"/>
          <w:sz w:val="24"/>
        </w:rPr>
        <w:t>传统房建红海出清，装配式、工程总承包、数字化、绿色低碳、海外工程正在成为新的增长极。进入新战场不能盲目，必须实事求是地评估能力门槛、盈利模式和风险，先试点、再复制，以“星星之火”逐步形成新的根据地。本篇为企业进入新业务提供方向研判、能力清单和风险控制工具。</w:t>
      </w:r>
    </w:p>
    <w:p>
      <w:pPr>
        <w:pStyle w:val="Heading2"/>
        <w:pageBreakBefore/>
      </w:pPr>
      <w:bookmarkStart w:id="40" w:name="_LarkToc00040"/>
      <w:r>
        <w:t>第33章　装配式建筑：像造汽车一样造房子</w:t>
      </w:r>
      <w:bookmarkEnd w:id="40"/>
    </w:p>
    <w:p>
      <w:pPr>
        <w:pStyle w:val="sec_head"/>
      </w:pPr>
      <w:r>
        <w:t>33.1　从“现场手工作业”到“工厂批量制造”的生产方式革命</w:t>
      </w:r>
    </w:p>
    <w:p>
      <w:pPr>
        <w:spacing w:before="0" w:after="0" w:line="360" w:lineRule="auto"/>
        <w:ind w:firstLine="480"/>
        <w:jc w:val="both"/>
      </w:pPr>
      <w:r>
        <w:rPr>
          <w:rFonts w:ascii="Times New Roman" w:hAnsi="Times New Roman" w:eastAsia="宋体"/>
          <w:b w:val="0"/>
          <w:i w:val="0"/>
          <w:color w:val="000000"/>
          <w:sz w:val="24"/>
        </w:rPr>
        <w:t>毛泽东同志讲“集中优势兵力，各个歼灭敌人”，放到装配式建造上，就是把过去在露天现场分散完成的支模、绑筋、浇筑作业，集中到工厂里批量、标准地完成，现场只做“装配”和“连接”。这不是多买几块预制板的工艺改良，而是建造方式的革命：设计标准化、生产工厂化、施工装配化、装修一体化、管理信息化。企业要不要进入、进入到什么深度，必须先算清政策账、成本账、能力账，不能看到政策热点就一哄而上。</w:t>
      </w:r>
    </w:p>
    <w:p>
      <w:pPr>
        <w:pStyle w:val="sec_head"/>
      </w:pPr>
      <w:r>
        <w:t>33.2　装配式政策与趋势、适用项目与盈利模式</w:t>
      </w:r>
    </w:p>
    <w:p>
      <w:pPr>
        <w:spacing w:before="0" w:after="0" w:line="360" w:lineRule="auto"/>
        <w:ind w:firstLine="480"/>
        <w:jc w:val="both"/>
      </w:pPr>
      <w:r>
        <w:rPr>
          <w:rFonts w:ascii="Times New Roman" w:hAnsi="Times New Roman" w:eastAsia="宋体"/>
          <w:b w:val="0"/>
          <w:i w:val="0"/>
          <w:color w:val="000000"/>
          <w:sz w:val="24"/>
        </w:rPr>
        <w:t>发展装配式建筑是国家长期引导方向，各地对新建项目装配率有不同要求，并给予相应奖励、容积率奖励、预售支持等激励；具体装配率门槛、奖补标准以项目所在地现行政策为准。装配式并非“万能药”：户型标准化程度高、重复率大的住宅、公寓、学校、宿舍等项目经济性较好；造型复杂、户型多变、预制厂运距过远的项目反而可能增加成本。盈利模式上，施工企业可从“施工总承包”向“设计—生产—施工”一体化延伸，通过深化设计、构件集中采购、吊装组织效率赚取管理溢价，切忌只赚辛苦的吊装费。</w:t>
      </w:r>
    </w:p>
    <w:p>
      <w:pPr>
        <w:pStyle w:val="sec_head"/>
      </w:pPr>
      <w:r>
        <w:t>33.3　装配率评价：按标准算清楚“装了多少”</w:t>
      </w:r>
    </w:p>
    <w:p>
      <w:pPr>
        <w:spacing w:before="0" w:after="0" w:line="360" w:lineRule="auto"/>
        <w:ind w:firstLine="480"/>
        <w:jc w:val="both"/>
      </w:pPr>
      <w:r>
        <w:rPr>
          <w:rFonts w:ascii="Times New Roman" w:hAnsi="Times New Roman" w:eastAsia="宋体"/>
          <w:b w:val="0"/>
          <w:i w:val="0"/>
          <w:color w:val="000000"/>
          <w:sz w:val="24"/>
        </w:rPr>
        <w:t>装配率是衡量装配式建筑水平的核心指标，按现行装配式建筑评价标准计算，涵盖预制构件应用、预制叠合楼板、非砌筑内隔墙、全装修、管线分离等分项。投标和策划阶段就要对照目标星级（或当地要求）反算需要哪些构件、做到什么比例，避免中标后才发现“装不够”而被动增加预制率。具体计算口径、评分项和最低要求以现行评价标准及项目所在地规定为准。</w:t>
      </w:r>
    </w:p>
    <w:p>
      <w:pPr>
        <w:spacing w:before="20" w:after="80" w:line="288" w:lineRule="auto"/>
        <w:ind w:firstLine="0"/>
        <w:jc w:val="left"/>
      </w:pPr>
      <w:r>
        <w:rPr>
          <w:rFonts w:ascii="Times New Roman" w:hAnsi="Times New Roman" w:eastAsia="宋体"/>
          <w:b w:val="0"/>
          <w:i w:val="0"/>
          <w:color w:val="404040"/>
          <w:sz w:val="18"/>
        </w:rPr>
        <w:t>依据：《装配式建筑评价标准》GB/T 51129、《装配式混凝土建筑技术标准》GB/T 51231、《装配式混凝土结构技术规程》JGJ 1等，均以现行有效版本为准；装配率计算与奖励口径以项目所在地政策为准。</w:t>
      </w:r>
    </w:p>
    <w:p>
      <w:pPr>
        <w:pStyle w:val="sec_head"/>
      </w:pPr>
      <w:r>
        <w:t>33.4　深化设计与协同：装配式的“大脑”在图纸阶段</w:t>
      </w:r>
    </w:p>
    <w:p>
      <w:pPr>
        <w:spacing w:before="0" w:after="0" w:line="360" w:lineRule="auto"/>
        <w:ind w:firstLine="480"/>
        <w:jc w:val="both"/>
      </w:pPr>
      <w:r>
        <w:rPr>
          <w:rFonts w:ascii="Times New Roman" w:hAnsi="Times New Roman" w:eastAsia="宋体"/>
          <w:b w:val="0"/>
          <w:i w:val="0"/>
          <w:color w:val="000000"/>
          <w:sz w:val="24"/>
        </w:rPr>
        <w:t>装配式项目成败七成在深化设计。预制构件一旦在工厂生产完成，现场几乎无法修改，因此必须在设计阶段把建筑、结构、机电、装修、预埋（套筒、吊点、管线、预留洞）全部叠合碰撞一次，做到“图纸不错、构件不错、现场不错”。深化设计应由有经验的单位或构件厂配合完成，实行设计、生产、施工三方会签，预留预埋与吊装、支撑、临时固定相协调。碰撞问题不留到现场。</w:t>
      </w:r>
    </w:p>
    <w:p>
      <w:pPr>
        <w:pStyle w:val="sec_head"/>
      </w:pPr>
      <w:r>
        <w:t>33.5　构件生产监造、运输、堆放与进场验收</w:t>
      </w:r>
    </w:p>
    <w:p>
      <w:pPr>
        <w:spacing w:before="0" w:after="0" w:line="360" w:lineRule="auto"/>
        <w:ind w:firstLine="480"/>
        <w:jc w:val="both"/>
      </w:pPr>
      <w:r>
        <w:rPr>
          <w:rFonts w:ascii="Times New Roman" w:hAnsi="Times New Roman" w:eastAsia="宋体"/>
          <w:b w:val="0"/>
          <w:i w:val="0"/>
          <w:color w:val="000000"/>
          <w:sz w:val="24"/>
        </w:rPr>
        <w:t>构件质量的大头在工厂，现场只是接收和吊装。要派人驻厂监造或定期巡查，核查钢筋、混凝土强度、套筒位置、预埋吊件、外观和尺寸偏差；运输要根据构件形状设置专用支架、绑扎支点，防止开裂变形；现场堆放要按吊装顺序、分规格码放，叠合板、楼梯、墙板的支点和层数严格按方案执行，防止“出厂是好的、到场裂了、堆久了坏了”。进场必须逐件验收并标识编号，不合格构件一律退场。</w:t>
      </w:r>
    </w:p>
    <w:p>
      <w:pPr>
        <w:pStyle w:val="sec_head"/>
      </w:pPr>
      <w:r>
        <w:t>33.6　吊装与灌浆套筒连接：关键工序必须旁站</w:t>
      </w:r>
    </w:p>
    <w:p>
      <w:pPr>
        <w:spacing w:before="0" w:after="0" w:line="360" w:lineRule="auto"/>
        <w:ind w:firstLine="480"/>
        <w:jc w:val="both"/>
      </w:pPr>
      <w:r>
        <w:rPr>
          <w:rFonts w:ascii="Times New Roman" w:hAnsi="Times New Roman" w:eastAsia="宋体"/>
          <w:b w:val="0"/>
          <w:i w:val="0"/>
          <w:color w:val="000000"/>
          <w:sz w:val="24"/>
        </w:rPr>
        <w:t>套筒灌浆连接是装配式混凝土结构的“命门”，连接质量直接决定结构安全。吊装要慢就位、临时支撑先固定后摘钩，校正垂直度后再固定；灌浆作业前湿润分仓、堵缝严密，灌浆料按配合比搅拌、从下孔灌注、上孔溢浆即封，全过程由专人旁站并留存影像，按批次制作灌浆料试块。灌浆不饱满、套筒偏位、封堵漏浆是高频隐患，发现一处必须处理一处，严禁“蒙过去”。吊装属于危大工程，超过一定规模的必须专项方案并专家论证。</w:t>
      </w:r>
    </w:p>
    <w:p>
      <w:pPr>
        <w:pStyle w:val="sec_head"/>
      </w:pPr>
      <w:r>
        <w:t>33.7　安全与专项方案</w:t>
      </w:r>
    </w:p>
    <w:p>
      <w:pPr>
        <w:spacing w:before="0" w:after="0" w:line="360" w:lineRule="auto"/>
        <w:ind w:firstLine="480"/>
        <w:jc w:val="both"/>
      </w:pPr>
      <w:r>
        <w:rPr>
          <w:rFonts w:ascii="Times New Roman" w:hAnsi="Times New Roman" w:eastAsia="宋体"/>
          <w:b w:val="0"/>
          <w:i w:val="0"/>
          <w:color w:val="000000"/>
          <w:sz w:val="24"/>
        </w:rPr>
        <w:t>装配式吊装重量大、高空作业多，必须编制吊装专项施工方案，明确起重机选型与站位、吊索具、吊装顺序、警戒区、临时支撑体系和应急措施；大风、雨雪等恶劣天气停止吊装作业。构件临时支撑未经校正固定、未达到规定强度前，不得拆除支撑，不得在其上堆载或进行下道工序。</w:t>
      </w:r>
    </w:p>
    <w:p>
      <w:pPr>
        <w:pStyle w:val="sec_head"/>
      </w:pPr>
      <w:r>
        <w:t>33.8　成本与风险：增量成本要靠管理消化</w:t>
      </w:r>
    </w:p>
    <w:p>
      <w:pPr>
        <w:spacing w:before="0" w:after="0" w:line="360" w:lineRule="auto"/>
        <w:ind w:firstLine="480"/>
        <w:jc w:val="both"/>
      </w:pPr>
      <w:r>
        <w:rPr>
          <w:rFonts w:ascii="Times New Roman" w:hAnsi="Times New Roman" w:eastAsia="宋体"/>
          <w:b w:val="0"/>
          <w:i w:val="0"/>
          <w:color w:val="000000"/>
          <w:sz w:val="24"/>
        </w:rPr>
        <w:t>装配式相对现浇往往有构件生产、运输、吊装的增量成本，要在投标和策划阶段就把这笔账算清楚，通过标准化设计减少构件种类、合理选择运距、优化吊装节奏、缩短工期来消化。主要风险包括：深化设计错漏导致构件报废、构件供应不及时停工待料、灌浆质量不过关、吊装安全事故、装配率不达标影响验收和奖补。对上述风险，要在合同中明确构件厂责任、在方案中留有余地、在旁站中管住关键工序。</w:t>
      </w:r>
    </w:p>
    <w:p>
      <w:pPr>
        <w:pStyle w:val="attach_div"/>
        <w:pageBreakBefore/>
        <w:jc w:val="center"/>
      </w:pPr>
      <w:r>
        <w:t>第33章　章末附件</w:t>
      </w:r>
    </w:p>
    <w:p>
      <w:pPr>
        <w:spacing w:before="0" w:after="0" w:line="360" w:lineRule="auto"/>
        <w:ind w:firstLine="480"/>
        <w:jc w:val="both"/>
      </w:pPr>
      <w:r>
        <w:rPr>
          <w:rFonts w:ascii="Times New Roman" w:hAnsi="Times New Roman" w:eastAsia="宋体"/>
          <w:b w:val="0"/>
          <w:i w:val="0"/>
          <w:color w:val="000000"/>
          <w:sz w:val="24"/>
        </w:rPr>
        <w:t>本页之后为《装配式建筑：像造汽车一样造房子》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34" w:name="_LarkToc00234"/>
      <w:r>
        <w:t>附件33-1　装配式项目策划与可行性评估表</w:t>
      </w:r>
      <w:bookmarkEnd w:id="234"/>
    </w:p>
    <w:p>
      <w:pPr>
        <w:spacing w:before="0" w:after="40" w:line="312" w:lineRule="auto"/>
        <w:ind w:firstLine="0"/>
        <w:jc w:val="left"/>
      </w:pPr>
      <w:r>
        <w:rPr>
          <w:rFonts w:ascii="Times New Roman" w:hAnsi="Times New Roman" w:eastAsia="宋体"/>
          <w:b w:val="0"/>
          <w:i w:val="0"/>
          <w:color w:val="595959"/>
          <w:sz w:val="18"/>
        </w:rPr>
        <w:t>【归属】第33章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【用途】投标签约前或项目策划阶段，由技术、商务、工程、供应链联合评估“该不该做装配式、做到什么程度”，凡政策不强制、成本倒挂、本地供应链不可靠的项目，应提交评审会慎重决策。</w:t>
      </w:r>
    </w:p>
    <w:p>
      <w:pPr>
        <w:keepNext/>
        <w:spacing w:before="80" w:after="40" w:line="288" w:lineRule="auto"/>
        <w:ind w:firstLine="0"/>
        <w:jc w:val="center"/>
      </w:pPr>
      <w:r>
        <w:rPr>
          <w:rFonts w:ascii="Times New Roman" w:hAnsi="Times New Roman" w:eastAsia="黑体"/>
          <w:b/>
          <w:i w:val="0"/>
          <w:color w:val="000000"/>
          <w:sz w:val="21"/>
        </w:rPr>
        <w:t>表33-1　装配式项目策划与可行性评估表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评估项</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评估内容</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调查/测算方式</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风险判断</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项目适配性</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户型标准化程度、重复率、结构形式</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图纸统计、户型分析</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政策要求</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当地装配率要求、星级要求、奖补政策</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属地住建部门文件</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供应链</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本地预制构件厂产能、运距、运输道路限高</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厂考察、运距测算</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吊装条件</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场地、塔吊覆盖、吊装作业半径与高度</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总平面布置、机械选型</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成本对比</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装配式与现浇增量成本、工期对比</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两方案成本测算</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技术能力</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深化设计、吊装班组、灌浆作业经验</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企业/分包业绩</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综合结论</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是否采用、采用比例及理由</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评审会</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□采用□谨慎□不采用</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注：装配率门槛、奖补标准以项目所在地现行政策为准；成本增量为定性加测算框架，具体数值按项目实算。</w:t>
      </w:r>
    </w:p>
    <w:p>
      <w:pPr>
        <w:pStyle w:val="Heading3"/>
        <w:pageBreakBefore/>
        <w:spacing w:before="120"/>
      </w:pPr>
      <w:bookmarkStart w:id="235" w:name="_LarkToc00235"/>
      <w:r>
        <w:t>附件33-2　装配率指标与构件方案配置表</w:t>
      </w:r>
      <w:bookmarkEnd w:id="235"/>
    </w:p>
    <w:p>
      <w:pPr>
        <w:spacing w:before="0" w:after="40" w:line="312" w:lineRule="auto"/>
        <w:ind w:firstLine="0"/>
        <w:jc w:val="left"/>
      </w:pPr>
      <w:r>
        <w:rPr>
          <w:rFonts w:ascii="Times New Roman" w:hAnsi="Times New Roman" w:eastAsia="宋体"/>
          <w:b w:val="0"/>
          <w:i w:val="0"/>
          <w:color w:val="595959"/>
          <w:sz w:val="18"/>
        </w:rPr>
        <w:t>【归属】第33章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【用途】对照现行装配式建筑评价标准和当地目标，逐项列出拟采用的预制部品部件，由设计牵头、商务复核，确保中标后“装得够、算得清”。示例行用后删除。</w:t>
      </w:r>
    </w:p>
    <w:p>
      <w:pPr>
        <w:keepNext/>
        <w:spacing w:before="80" w:after="40" w:line="288" w:lineRule="auto"/>
        <w:ind w:firstLine="0"/>
        <w:jc w:val="center"/>
      </w:pPr>
      <w:r>
        <w:rPr>
          <w:rFonts w:ascii="Times New Roman" w:hAnsi="Times New Roman" w:eastAsia="黑体"/>
          <w:b/>
          <w:i w:val="0"/>
          <w:color w:val="000000"/>
          <w:sz w:val="21"/>
        </w:rPr>
        <w:t>表33-2　装配率指标与构件方案配置表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指标/构件项</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评价要求（定性）</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本项目拟采用做法</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对应部位</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责任方</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（示例）预制叠合楼板</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按标准计入装配率</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客房层楼板采用60mm叠合层+70mm后浇</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标准层楼板</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设计/构件厂</w:t>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预制柱/预制梁</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按标准计入</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主体结构</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预制内外墙板</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按标准计入</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围护/内隔墙</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预制楼梯</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按标准计入</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楼梯间</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非砌筑内隔墙</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按标准计入</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室内分隔</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全装修/管线分离</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按标准计入</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装修机电</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整体厨卫等集成部品</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按标准计入</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厨卫</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7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依据：《装配式建筑评价标准》GB/T 51129及项目所在地装配率计算细则，以现行有效版本为准；具体分值、最低比例不写死，以评价标准原文和当地规定为准。示例行仅为说明填写方法，使用时删除。</w:t>
      </w:r>
    </w:p>
    <w:p>
      <w:pPr>
        <w:pStyle w:val="Heading3"/>
        <w:pageBreakBefore/>
        <w:spacing w:before="120"/>
      </w:pPr>
      <w:bookmarkStart w:id="236" w:name="_LarkToc00236"/>
      <w:r>
        <w:t>附件33-3　预制构件采购、生产监造与进场验收表</w:t>
      </w:r>
      <w:bookmarkEnd w:id="236"/>
    </w:p>
    <w:p>
      <w:pPr>
        <w:spacing w:before="0" w:after="40" w:line="312" w:lineRule="auto"/>
        <w:ind w:firstLine="0"/>
        <w:jc w:val="left"/>
      </w:pPr>
      <w:r>
        <w:rPr>
          <w:rFonts w:ascii="Times New Roman" w:hAnsi="Times New Roman" w:eastAsia="宋体"/>
          <w:b w:val="0"/>
          <w:i w:val="0"/>
          <w:color w:val="595959"/>
          <w:sz w:val="18"/>
        </w:rPr>
        <w:t>【归属】第33章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【用途】由供应链、技术、质量联合执行：采购前明确技术要求，生产中驻厂监造，进场逐件验收并编号，不合格构件标识隔离、限期退场。示例行用后删除。</w:t>
      </w:r>
    </w:p>
    <w:p>
      <w:pPr>
        <w:keepNext/>
        <w:spacing w:before="80" w:after="40" w:line="288" w:lineRule="auto"/>
        <w:ind w:firstLine="0"/>
        <w:jc w:val="center"/>
      </w:pPr>
      <w:r>
        <w:rPr>
          <w:rFonts w:ascii="Times New Roman" w:hAnsi="Times New Roman" w:eastAsia="黑体"/>
          <w:b/>
          <w:i w:val="0"/>
          <w:color w:val="000000"/>
          <w:sz w:val="21"/>
        </w:rPr>
        <w:t>表33-3　预制构件生产监造与进场验收台账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构件编号/名称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规格型号</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生产厂</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监造要点</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进场验收（外观/尺寸/预埋/强度报告）</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验收结论</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堆放要求</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（示例）YKB-01叠合板</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3.3m×2.4m</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120块</w:t>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XX构件厂</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套筒位置、吊点、混凝土强度</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外观无裂缝、尺寸偏差在允许范围、资料齐全</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□合格□退场</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支点对称、不超层</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□合格□退场</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□合格□退场</w:t>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注：构件允许偏差、强度报告、预埋吊件要求按GB/T 51231、JGJ 1及现行有效版本执行；进场验收须逐件核对编号与图纸，缺资料或外观缺陷构件不得吊装。示例行用后删除。</w:t>
      </w:r>
    </w:p>
    <w:p>
      <w:pPr>
        <w:pStyle w:val="Heading3"/>
        <w:pageBreakBefore/>
        <w:spacing w:before="120"/>
      </w:pPr>
      <w:bookmarkStart w:id="237" w:name="_LarkToc00237"/>
      <w:r>
        <w:t>附件33-4　预制构件吊装与灌浆套筒连接质量控制表（关键工序旁站）</w:t>
      </w:r>
      <w:bookmarkEnd w:id="237"/>
    </w:p>
    <w:p>
      <w:pPr>
        <w:spacing w:before="0" w:after="40" w:line="312" w:lineRule="auto"/>
        <w:ind w:firstLine="0"/>
        <w:jc w:val="left"/>
      </w:pPr>
      <w:r>
        <w:rPr>
          <w:rFonts w:ascii="Times New Roman" w:hAnsi="Times New Roman" w:eastAsia="宋体"/>
          <w:b w:val="0"/>
          <w:i w:val="0"/>
          <w:color w:val="595959"/>
          <w:sz w:val="18"/>
        </w:rPr>
        <w:t>【归属】第33章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【用途】吊装就位、套筒灌浆等关键工序由质量员、监理全程旁站并留存影像，灌浆按批制作试块；任一关键指标不合格不得进入下道工序。示例行用后删除。</w:t>
      </w:r>
    </w:p>
    <w:p>
      <w:pPr>
        <w:keepNext/>
        <w:spacing w:before="80" w:after="40" w:line="288" w:lineRule="auto"/>
        <w:ind w:firstLine="0"/>
        <w:jc w:val="center"/>
      </w:pPr>
      <w:r>
        <w:rPr>
          <w:rFonts w:ascii="Times New Roman" w:hAnsi="Times New Roman" w:eastAsia="黑体"/>
          <w:b/>
          <w:i w:val="0"/>
          <w:color w:val="000000"/>
          <w:sz w:val="21"/>
        </w:rPr>
        <w:t>表33-4　吊装与灌浆套筒连接关键工序旁站记录表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工序</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控制要点</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判定标准（定性/允许偏差按规范）</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旁站记录</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监理/质量员</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结论</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构件吊装就位</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慢就位、不碰撞、对位准确</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就位偏差在规范允许范围内</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□合格□整改</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临时支撑固定</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支撑数量、角度、拧紧</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支撑牢固、校正后方可摘钩</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□合格□整改</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钢筋套筒对位</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钢筋插入深度、不偏位</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对位到位、无强行撬入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□合格□整改</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（示例）套筒灌浆</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分仓封堵、下孔灌浆、上孔溢浆</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灌浆密实、出浆孔饱满封堵、按批留试块</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2026-04-10第3层</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□合格□整改</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垂直度校正</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墙板/柱垂直度</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偏差在规范允许范围内</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□合格□整改</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支撑拆除</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灌浆料强度达到要求</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同条件试块强度满足方案</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□合格□整改</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依据：《装配式混凝土结构技术规程》JGJ 1、《装配式混凝土建筑技术标准》GB/T 51231（以现行有效版本为准）；灌浆作业必须全过程旁站、影像留存，灌浆料同条件试块按批留置。示例行用后删除。</w:t>
      </w:r>
    </w:p>
    <w:p>
      <w:pPr>
        <w:pStyle w:val="Heading3"/>
        <w:pageBreakBefore/>
        <w:spacing w:before="120"/>
      </w:pPr>
      <w:bookmarkStart w:id="238" w:name="_LarkToc00238"/>
      <w:r>
        <w:t>附件33-5　装配式深化设计与碰撞审查记录</w:t>
      </w:r>
      <w:bookmarkEnd w:id="238"/>
    </w:p>
    <w:p>
      <w:pPr>
        <w:spacing w:before="0" w:after="40" w:line="312" w:lineRule="auto"/>
        <w:ind w:firstLine="0"/>
        <w:jc w:val="left"/>
      </w:pPr>
      <w:r>
        <w:rPr>
          <w:rFonts w:ascii="Times New Roman" w:hAnsi="Times New Roman" w:eastAsia="宋体"/>
          <w:b w:val="0"/>
          <w:i w:val="0"/>
          <w:color w:val="595959"/>
          <w:sz w:val="18"/>
        </w:rPr>
        <w:t>【归属】第33章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【用途】在构件生产前完成建筑、结构、机电、装修、预埋的综合碰撞审查，问题逐条整改闭环并三方会签，严禁带错图生产。</w:t>
      </w:r>
    </w:p>
    <w:p>
      <w:pPr>
        <w:keepNext/>
        <w:spacing w:before="80" w:after="40" w:line="288" w:lineRule="auto"/>
        <w:ind w:firstLine="0"/>
        <w:jc w:val="center"/>
      </w:pPr>
      <w:r>
        <w:rPr>
          <w:rFonts w:ascii="Times New Roman" w:hAnsi="Times New Roman" w:eastAsia="黑体"/>
          <w:b/>
          <w:i w:val="0"/>
          <w:color w:val="000000"/>
          <w:sz w:val="21"/>
        </w:rPr>
        <w:t>表33-5　深化设计与碰撞审查记录表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审查项</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审查内容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发现问题数</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整改闭环情况</w:t>
            </w:r>
          </w:p>
        </w:tc>
        <w:tc>
          <w:tcPr>
            <w:tcW w:type="dxa" w:w="17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设计/生产/施工会签</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1</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结构与预埋</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套筒、吊点、支撑埋件与钢筋冲突</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□已闭环</w:t>
            </w:r>
          </w:p>
        </w:tc>
        <w:tc>
          <w:tcPr>
            <w:tcW w:type="dxa" w:w="175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□设计□厂□施工</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2</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机电预留预埋</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管线、预留洞与叠合板冲突</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□已闭环</w:t>
            </w:r>
          </w:p>
        </w:tc>
        <w:tc>
          <w:tcPr>
            <w:tcW w:type="dxa" w:w="175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□设计□厂□施工</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3</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装修界面</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内隔墙、全装修与构件接口</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□已闭环</w:t>
            </w:r>
          </w:p>
        </w:tc>
        <w:tc>
          <w:tcPr>
            <w:tcW w:type="dxa" w:w="175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□设计□厂□施工</w:t>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4</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吊装与支撑</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吊点、临时支撑与作业面匹配</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□已闭环</w:t>
            </w:r>
          </w:p>
        </w:tc>
        <w:tc>
          <w:tcPr>
            <w:tcW w:type="dxa" w:w="175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□设计□厂□施工</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5</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构件编号与图纸</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编号、尺寸、数量与清单一致</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□已闭环</w:t>
            </w:r>
          </w:p>
        </w:tc>
        <w:tc>
          <w:tcPr>
            <w:tcW w:type="dxa" w:w="175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□设计□厂□施工</w:t>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5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5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注：深化设计图纸须经原设计确认，并作为构件生产和现场吊装依据；碰撞问题未闭环不得下单生产。</w:t>
      </w:r>
    </w:p>
    <w:p>
      <w:pPr>
        <w:pStyle w:val="Heading3"/>
        <w:pageBreakBefore/>
        <w:spacing w:before="120"/>
      </w:pPr>
      <w:bookmarkStart w:id="239" w:name="_LarkToc00239"/>
      <w:r>
        <w:t>附件33-6　装配式专项施工方案与吊装作业审批表</w:t>
      </w:r>
      <w:bookmarkEnd w:id="239"/>
    </w:p>
    <w:p>
      <w:pPr>
        <w:spacing w:before="0" w:after="40" w:line="312" w:lineRule="auto"/>
        <w:ind w:firstLine="0"/>
        <w:jc w:val="left"/>
      </w:pPr>
      <w:r>
        <w:rPr>
          <w:rFonts w:ascii="Times New Roman" w:hAnsi="Times New Roman" w:eastAsia="宋体"/>
          <w:b w:val="0"/>
          <w:i w:val="0"/>
          <w:color w:val="595959"/>
          <w:sz w:val="18"/>
        </w:rPr>
        <w:t>【归属】第33章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【用途】吊装属于危大工程，专项方案须按规定编审；超过一定规模的必须组织专家论证，审批和交底未完成不得吊装。</w:t>
      </w:r>
    </w:p>
    <w:p>
      <w:pPr>
        <w:keepNext/>
        <w:spacing w:before="80" w:after="40" w:line="288" w:lineRule="auto"/>
        <w:ind w:firstLine="0"/>
        <w:jc w:val="center"/>
      </w:pPr>
      <w:r>
        <w:rPr>
          <w:rFonts w:ascii="Times New Roman" w:hAnsi="Times New Roman" w:eastAsia="黑体"/>
          <w:b/>
          <w:i w:val="0"/>
          <w:color w:val="000000"/>
          <w:sz w:val="21"/>
        </w:rPr>
        <w:t>表33-6　装配式专项施工方案与吊装作业审批表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环节</w:t>
            </w:r>
          </w:p>
        </w:tc>
        <w:tc>
          <w:tcPr>
            <w:tcW w:type="dxa" w:w="30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工作内容与要求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完成情况</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签字/日期</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方案编制</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吊装、临时支撑、灌浆专项方案及计算书</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施工单位审批</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施工单位技术负责人审核签字盖章</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监理审查</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总监理工程师审查签字盖章</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总监</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专家论证</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超过一定规模的吊装工程，专家不少于5名</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技术负责人</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□完成□不涉及</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安全技术交底</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向管理人员、吊装班组书面交底</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技术/安全</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吊装作业令</w:t>
            </w:r>
          </w:p>
        </w:tc>
        <w:tc>
          <w:tcPr>
            <w:tcW w:type="dxa" w:w="30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当日天气、机械、警戒区确认后签发</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项目经理</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恶劣天气停吊</w:t>
            </w:r>
          </w:p>
        </w:tc>
        <w:tc>
          <w:tcPr>
            <w:tcW w:type="dxa" w:w="30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大风、雨雪等按方案停止吊装</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安全员</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□执行</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依据：《危险性较大的分部分项工程安全管理规定》（住建部令第37号，第47号令修订）；超过一定规模的起重吊装及安装拆卸工程须专家论证，专家不少于5名。</w:t>
      </w:r>
    </w:p>
    <w:p>
      <w:pPr>
        <w:pStyle w:val="Heading2"/>
        <w:pageBreakBefore/>
      </w:pPr>
      <w:bookmarkStart w:id="41" w:name="_LarkToc00041"/>
      <w:r>
        <w:t>第34章　工程总承包（EPC）与投建营一体化</w:t>
      </w:r>
      <w:bookmarkEnd w:id="41"/>
    </w:p>
    <w:p>
      <w:pPr>
        <w:pStyle w:val="sec_head"/>
      </w:pPr>
      <w:r>
        <w:t>34.1　把分散的拳头攥成一个：设计施工一体化的方法论</w:t>
      </w:r>
    </w:p>
    <w:p>
      <w:pPr>
        <w:spacing w:before="0" w:after="0" w:line="360" w:lineRule="auto"/>
        <w:ind w:firstLine="480"/>
        <w:jc w:val="both"/>
      </w:pPr>
      <w:r>
        <w:rPr>
          <w:rFonts w:ascii="Times New Roman" w:hAnsi="Times New Roman" w:eastAsia="宋体"/>
          <w:b w:val="0"/>
          <w:i w:val="0"/>
          <w:color w:val="000000"/>
          <w:sz w:val="24"/>
        </w:rPr>
        <w:t>毛泽东同志讲“学会弹钢琴”，十个指头要互相配合；又讲“不打无准备之仗”。EPC（设计采购施工总承包）与投建营一体化，本质上就是要求施工企业从“只按图施工”的单环节作战，升级为对设计、采购、施工、乃至融资、运营全链条负责的“合成军”。这既是高附加值的新战场，也是风险高度集中的战场——固定总价之下，设计错一点、材料涨一点、工期拖一点，利润就可能被吃光。进不进、怎么进，必须先把模式和风险吃透。</w:t>
      </w:r>
    </w:p>
    <w:p>
      <w:pPr>
        <w:pStyle w:val="sec_head"/>
      </w:pPr>
      <w:r>
        <w:t>34.2　DBB／EPC／EPCO／F+EPC／投建营：风险怎么分</w:t>
      </w:r>
    </w:p>
    <w:p>
      <w:pPr>
        <w:spacing w:before="0" w:after="0" w:line="360" w:lineRule="auto"/>
        <w:ind w:firstLine="480"/>
        <w:jc w:val="both"/>
      </w:pPr>
      <w:r>
        <w:rPr>
          <w:rFonts w:ascii="Times New Roman" w:hAnsi="Times New Roman" w:eastAsia="宋体"/>
          <w:b w:val="0"/>
          <w:i w:val="0"/>
          <w:color w:val="000000"/>
          <w:sz w:val="24"/>
        </w:rPr>
        <w:t>不同承包模式，业主与承包商的风险分配截然不同：DBB（设计—招标—施工分离）模式下设计与施工脱节，承包商按图施工、变更索赔空间相对大；EPC（设计采购施工总承包）模式下承包商对设计、采购、施工全面负责，多采用固定总价，承担的设计风险和量价风险显著增大；EPCO在EPC基础上增加运营（Operation）；F+EPC（融资+工程总承包）要求承包商先行融资或协助融资；投建营一体化则进一步要求投资、建设、运营一体。总体趋势是：承包商拿的比重越大、越靠近“固定总价+包运营”，业主转移过来的风险就越多，报价中必须把风险溢价算足。</w:t>
      </w:r>
    </w:p>
    <w:p>
      <w:pPr>
        <w:pStyle w:val="sec_head"/>
      </w:pPr>
      <w:r>
        <w:t>34.3　EPC管理办法与合同示范文本</w:t>
      </w:r>
    </w:p>
    <w:p>
      <w:pPr>
        <w:spacing w:before="0" w:after="0" w:line="360" w:lineRule="auto"/>
        <w:ind w:firstLine="480"/>
        <w:jc w:val="both"/>
      </w:pPr>
      <w:r>
        <w:rPr>
          <w:rFonts w:ascii="Times New Roman" w:hAnsi="Times New Roman" w:eastAsia="宋体"/>
          <w:b w:val="0"/>
          <w:i w:val="0"/>
          <w:color w:val="000000"/>
          <w:sz w:val="24"/>
        </w:rPr>
        <w:t>房屋建筑和市政基础设施项目工程总承包，应执行工程总承包管理办法，明确发包承包范围、总承包单位条件、风险分担、工期与质量责任等；合同宜采用工程总承包合同示范文本。施工企业作为联合体一方或独立承包人，必须在投标前看清：发包人提供的地质、勘察、设计边界资料是否作为基准移交（业主承担的资料风险边界）、变更与调价机制、固定总价包含的范围、性能验收指标和运营考核要求。合同关键条款核查见附件34-6。</w:t>
      </w:r>
    </w:p>
    <w:p>
      <w:pPr>
        <w:spacing w:before="20" w:after="80" w:line="288" w:lineRule="auto"/>
        <w:ind w:firstLine="0"/>
        <w:jc w:val="left"/>
      </w:pPr>
      <w:r>
        <w:rPr>
          <w:rFonts w:ascii="Times New Roman" w:hAnsi="Times New Roman" w:eastAsia="宋体"/>
          <w:b w:val="0"/>
          <w:i w:val="0"/>
          <w:color w:val="404040"/>
          <w:sz w:val="18"/>
        </w:rPr>
        <w:t>依据：《房屋建筑和市政基础设施项目工程总承包管理办法》（建市规〔2019〕12号）；《建设项目工程总承包合同（示范文本）》GF-2020-0216；具体以现行有效版本及项目合同专用条款为准。</w:t>
      </w:r>
    </w:p>
    <w:p>
      <w:pPr>
        <w:pStyle w:val="sec_head"/>
      </w:pPr>
      <w:r>
        <w:t>34.4　设计管理与限额设计：EPC利润的主要来源</w:t>
      </w:r>
    </w:p>
    <w:p>
      <w:pPr>
        <w:spacing w:before="0" w:after="0" w:line="360" w:lineRule="auto"/>
        <w:ind w:firstLine="480"/>
        <w:jc w:val="both"/>
      </w:pPr>
      <w:r>
        <w:rPr>
          <w:rFonts w:ascii="Times New Roman" w:hAnsi="Times New Roman" w:eastAsia="宋体"/>
          <w:b w:val="0"/>
          <w:i w:val="0"/>
          <w:color w:val="000000"/>
          <w:sz w:val="24"/>
        </w:rPr>
        <w:t>EPC模式下，设计决定了工程约七八成的成本，控制设计就是控制成本。施工企业必须前置介入设计，推行限额设计：在满足功能、安全、规范和业主性能要求的前提下，按批准的概算/估算控制各专业设计，严禁“设计人员敞开花钱、施工人员被动买单”。要建立设计—成本联动：每版设计做技术经济比选，材料选型、结构形式、基础方案多方案比较，把优化省下的钱变成利润，而不是变成变更索赔。</w:t>
      </w:r>
    </w:p>
    <w:p>
      <w:pPr>
        <w:pStyle w:val="sec_head"/>
      </w:pPr>
      <w:r>
        <w:t>34.5　采购—施工接口：接口不清就是扯皮</w:t>
      </w:r>
    </w:p>
    <w:p>
      <w:pPr>
        <w:spacing w:before="0" w:after="0" w:line="360" w:lineRule="auto"/>
        <w:ind w:firstLine="480"/>
        <w:jc w:val="both"/>
      </w:pPr>
      <w:r>
        <w:rPr>
          <w:rFonts w:ascii="Times New Roman" w:hAnsi="Times New Roman" w:eastAsia="宋体"/>
          <w:b w:val="0"/>
          <w:i w:val="0"/>
          <w:color w:val="000000"/>
          <w:sz w:val="24"/>
        </w:rPr>
        <w:t>EPC把设计、采购、施工放在一家手里，接口反而更容易在内部“打架”：设备材料到货时间、技术参数确认、厂家配合基础图、进场检验，任何一个环节滞后都会连锁影响施工。要建立设计—采购—施工三级接口计划，明确长周期设备先行采购、技术资料提前冻结、进场与吊装顺序匹配，用一张总进度接口表把三方钉在一起。</w:t>
      </w:r>
    </w:p>
    <w:p>
      <w:pPr>
        <w:pStyle w:val="sec_head"/>
      </w:pPr>
      <w:r>
        <w:t>34.6　投标报价与成本：固定总价下要“算死”</w:t>
      </w:r>
    </w:p>
    <w:p>
      <w:pPr>
        <w:spacing w:before="0" w:after="0" w:line="360" w:lineRule="auto"/>
        <w:ind w:firstLine="480"/>
        <w:jc w:val="both"/>
      </w:pPr>
      <w:r>
        <w:rPr>
          <w:rFonts w:ascii="Times New Roman" w:hAnsi="Times New Roman" w:eastAsia="宋体"/>
          <w:b w:val="0"/>
          <w:i w:val="0"/>
          <w:color w:val="000000"/>
          <w:sz w:val="24"/>
        </w:rPr>
        <w:t>EPC多为固定总价或可调有限，报价必须建立在较扎实的方案设计和工程量之上，把设计风险、工程量风险、材料涨价风险、工期风险都考虑进去，不能再用传统施工总承包“边干边看”的思路。报价阶段要留足不可预见费和风险包干费，并在投标决策中明确哪些风险自己承担、哪些通过调价条款转移。</w:t>
      </w:r>
    </w:p>
    <w:p>
      <w:pPr>
        <w:pStyle w:val="sec_head"/>
      </w:pPr>
      <w:r>
        <w:t>34.7　投建营财务测算与融资风险</w:t>
      </w:r>
    </w:p>
    <w:p>
      <w:pPr>
        <w:spacing w:before="0" w:after="0" w:line="360" w:lineRule="auto"/>
        <w:ind w:firstLine="480"/>
        <w:jc w:val="both"/>
      </w:pPr>
      <w:r>
        <w:rPr>
          <w:rFonts w:ascii="Times New Roman" w:hAnsi="Times New Roman" w:eastAsia="宋体"/>
          <w:b w:val="0"/>
          <w:i w:val="0"/>
          <w:color w:val="000000"/>
          <w:sz w:val="24"/>
        </w:rPr>
        <w:t>F+EPC和投建营项目，工程只是链条一环，真正的大头是融资和运营回报。要做全生命周期财务测算：项目投资、建设成本、融资成本（利率、期限、还本付息）、运营收入与成本、税金、内部收益率和投资回收期，并做敏感性分析（收入下滑、利率上行、工期延长）。特别警惕“投资搭桥、回款无门”：若项目本身收益不足、财政支付能力弱、回报机制不明确，再大的工程合同也可能沦为长期垫资。各项税率、利率以现行政策和金融机构报价为准。</w:t>
      </w:r>
    </w:p>
    <w:p>
      <w:pPr>
        <w:pStyle w:val="sec_head"/>
      </w:pPr>
      <w:r>
        <w:t>34.8　固定总价下的风险红线</w:t>
      </w:r>
    </w:p>
    <w:p>
      <w:pPr>
        <w:spacing w:before="0" w:after="0" w:line="360" w:lineRule="auto"/>
        <w:ind w:firstLine="480"/>
        <w:jc w:val="both"/>
      </w:pPr>
      <w:r>
        <w:rPr>
          <w:rFonts w:ascii="Times New Roman" w:hAnsi="Times New Roman" w:eastAsia="宋体"/>
          <w:b w:val="0"/>
          <w:i w:val="0"/>
          <w:color w:val="000000"/>
          <w:sz w:val="24"/>
        </w:rPr>
        <w:t>固定总价合同的三条红线：一是范围红线——投标图纸、技术规格书、业主要求清单之外的工作，必须书面变更确认，不能“默认含在总价里”；二是基准红线——发包人移交的资料、现场条件、法规变化超出合同约定风险范围的，要及时发函主张调价或工期；三是履约红线——性能指标、运营考核不达标会触发罚款，设计和施工必须对最终性能负责。任何“业主口头承诺”都要落到书面，否则不予实施。</w:t>
      </w:r>
    </w:p>
    <w:p>
      <w:pPr>
        <w:pStyle w:val="attach_div"/>
        <w:pageBreakBefore/>
        <w:jc w:val="center"/>
      </w:pPr>
      <w:r>
        <w:t>第34章　章末附件</w:t>
      </w:r>
    </w:p>
    <w:p>
      <w:pPr>
        <w:spacing w:before="0" w:after="0" w:line="360" w:lineRule="auto"/>
        <w:ind w:firstLine="480"/>
        <w:jc w:val="both"/>
      </w:pPr>
      <w:r>
        <w:rPr>
          <w:rFonts w:ascii="Times New Roman" w:hAnsi="Times New Roman" w:eastAsia="宋体"/>
          <w:b w:val="0"/>
          <w:i w:val="0"/>
          <w:color w:val="000000"/>
          <w:sz w:val="24"/>
        </w:rPr>
        <w:t>本页之后为《工程总承包（EPC）与投建营一体化》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40" w:name="_LarkToc00240"/>
      <w:r>
        <w:t>附件34-1　工程总承包/投建营模式与风险分配对照表</w:t>
      </w:r>
      <w:bookmarkEnd w:id="240"/>
    </w:p>
    <w:p>
      <w:pPr>
        <w:spacing w:before="0" w:after="40" w:line="312" w:lineRule="auto"/>
        <w:ind w:firstLine="0"/>
        <w:jc w:val="left"/>
      </w:pPr>
      <w:r>
        <w:rPr>
          <w:rFonts w:ascii="Times New Roman" w:hAnsi="Times New Roman" w:eastAsia="宋体"/>
          <w:b w:val="0"/>
          <w:i w:val="0"/>
          <w:color w:val="595959"/>
          <w:sz w:val="18"/>
        </w:rPr>
        <w:t>【归属】第34章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【用途】投标决策前，由商务、法务、技术对照本项目招标模式，逐项判断风险归属，凡本企业无力承担的风险，应在报价中加价或在答疑中要求调整条款。</w:t>
      </w:r>
    </w:p>
    <w:p>
      <w:pPr>
        <w:keepNext/>
        <w:spacing w:before="80" w:after="40" w:line="288" w:lineRule="auto"/>
        <w:ind w:firstLine="0"/>
        <w:jc w:val="center"/>
      </w:pPr>
      <w:r>
        <w:rPr>
          <w:rFonts w:ascii="Times New Roman" w:hAnsi="Times New Roman" w:eastAsia="黑体"/>
          <w:b/>
          <w:i w:val="0"/>
          <w:color w:val="000000"/>
          <w:sz w:val="21"/>
        </w:rPr>
        <w:t>表34-1　承包模式与风险分配对照表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模式</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范围</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计价方式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设计风险</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量价风险</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工期风险</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适用/提示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DBB（设计招标施工）</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仅施工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单价/清单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业主为主</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按清单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相对可控</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按图施工、变更索赔空间较大</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（示例）EPC</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设计+采购+施工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固定总价</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须限额设计、风险报价充足</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EPCO</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EPC+运营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固定总价+运营费</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增加运营考核与性能风险</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F+EPC</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融资+EPC</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固定总价+融资安排</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增加融资与回收风险</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投建营一体化</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投资+建设+运营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全生命周期</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总承包承担</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须财务测算、落实回报机制</w:t>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注：风险分配以本项目招标文件及合同专用条款为准；本表为定性对照，不替代合同审查。示例行用后删除。</w:t>
      </w:r>
    </w:p>
    <w:p>
      <w:pPr>
        <w:pStyle w:val="Heading3"/>
        <w:pageBreakBefore/>
        <w:spacing w:before="120"/>
      </w:pPr>
      <w:bookmarkStart w:id="241" w:name="_LarkToc00241"/>
      <w:r>
        <w:t>附件34-2　设计管理与限额设计控制表</w:t>
      </w:r>
      <w:bookmarkEnd w:id="241"/>
    </w:p>
    <w:p>
      <w:pPr>
        <w:spacing w:before="0" w:after="40" w:line="312" w:lineRule="auto"/>
        <w:ind w:firstLine="0"/>
        <w:jc w:val="left"/>
      </w:pPr>
      <w:r>
        <w:rPr>
          <w:rFonts w:ascii="Times New Roman" w:hAnsi="Times New Roman" w:eastAsia="宋体"/>
          <w:b w:val="0"/>
          <w:i w:val="0"/>
          <w:color w:val="595959"/>
          <w:sz w:val="18"/>
        </w:rPr>
        <w:t>【归属】第34章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【用途】设计阶段按批准的投资估算/概算控制各专业，每版设计做技术经济比选，超限部分须专项说明并经审批。</w:t>
      </w:r>
    </w:p>
    <w:p>
      <w:pPr>
        <w:keepNext/>
        <w:spacing w:before="80" w:after="40" w:line="288" w:lineRule="auto"/>
        <w:ind w:firstLine="0"/>
        <w:jc w:val="center"/>
      </w:pPr>
      <w:r>
        <w:rPr>
          <w:rFonts w:ascii="Times New Roman" w:hAnsi="Times New Roman" w:eastAsia="黑体"/>
          <w:b/>
          <w:i w:val="0"/>
          <w:color w:val="000000"/>
          <w:sz w:val="21"/>
        </w:rPr>
        <w:t>表34-2　限额设计控制表（金额单位：万元）</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专业/分项</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限额指标（控制额）</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本版设计概算</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偏差额</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偏差率</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是否超限</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优化措施</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（示例）主体结构</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3200.00</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3350.00</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+150.00</w:t>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4.69%</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优化配筋/截面</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基础工程</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机电安装</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装饰装修</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室外配套</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合计</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100%</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注：偏差率=（本版概算-限额）÷限额×100%，保留两位小数；金额保留两位小数。示例行用后删除。</w:t>
      </w:r>
    </w:p>
    <w:p>
      <w:pPr>
        <w:pStyle w:val="Heading3"/>
        <w:pageBreakBefore/>
        <w:spacing w:before="120"/>
      </w:pPr>
      <w:bookmarkStart w:id="242" w:name="_LarkToc00242"/>
      <w:r>
        <w:t>附件34-3　工程总承包项目投标与报价决策表</w:t>
      </w:r>
      <w:bookmarkEnd w:id="242"/>
    </w:p>
    <w:p>
      <w:pPr>
        <w:spacing w:before="0" w:after="40" w:line="312" w:lineRule="auto"/>
        <w:ind w:firstLine="0"/>
        <w:jc w:val="left"/>
      </w:pPr>
      <w:r>
        <w:rPr>
          <w:rFonts w:ascii="Times New Roman" w:hAnsi="Times New Roman" w:eastAsia="宋体"/>
          <w:b w:val="0"/>
          <w:i w:val="0"/>
          <w:color w:val="595959"/>
          <w:sz w:val="18"/>
        </w:rPr>
        <w:t>【归属】第34章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【用途】EPC固定总价项目报价必须基于方案设计和扎实工程量，先算风险包干费，再定报价，严禁无方案、无边际地低价抢标。</w:t>
      </w:r>
    </w:p>
    <w:p>
      <w:pPr>
        <w:keepNext/>
        <w:spacing w:before="80" w:after="40" w:line="288" w:lineRule="auto"/>
        <w:ind w:firstLine="0"/>
        <w:jc w:val="center"/>
      </w:pPr>
      <w:r>
        <w:rPr>
          <w:rFonts w:ascii="Times New Roman" w:hAnsi="Times New Roman" w:eastAsia="黑体"/>
          <w:b/>
          <w:i w:val="0"/>
          <w:color w:val="000000"/>
          <w:sz w:val="21"/>
        </w:rPr>
        <w:t>表34-3　EPC投标报价决策表（金额单位：万元）</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464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说明</w:t>
            </w:r>
          </w:p>
        </w:tc>
      </w:tr>
      <w:tr>
        <w:trPr>
          <w:cantSplit/>
        </w:trPr>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一、工程成本（设计+采购+施工）</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按方案设计与工程量实算</w:t>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二、不可预见费与风险包干费</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设计、量价、工期、涨价风险</w:t>
            </w:r>
          </w:p>
        </w:tc>
      </w:tr>
      <w:tr>
        <w:trPr>
          <w:cantSplit/>
        </w:trPr>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三、融资/资金成本</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垫资、利息，F+EPC项目计列</w:t>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四、税金</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以现行税收政策为准</w:t>
            </w:r>
          </w:p>
        </w:tc>
      </w:tr>
      <w:tr>
        <w:trPr>
          <w:cantSplit/>
        </w:trPr>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五、目标成本合计（一至四）</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保本总价</w:t>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六、预期利润</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七、投标总价</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评审会审定</w:t>
            </w:r>
          </w:p>
        </w:tc>
      </w:tr>
      <w:tr>
        <w:trPr>
          <w:cantSplit/>
        </w:trPr>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八、主要风险及应对</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464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范围/基准/性能三条红线</w:t>
            </w:r>
          </w:p>
        </w:tc>
      </w:tr>
    </w:tbl>
    <w:p>
      <w:pPr>
        <w:spacing w:before="20" w:after="80" w:line="288" w:lineRule="auto"/>
        <w:ind w:firstLine="0"/>
        <w:jc w:val="left"/>
      </w:pPr>
      <w:r>
        <w:rPr>
          <w:rFonts w:ascii="Times New Roman" w:hAnsi="Times New Roman" w:eastAsia="宋体"/>
          <w:b w:val="0"/>
          <w:i w:val="0"/>
          <w:color w:val="404040"/>
          <w:sz w:val="18"/>
        </w:rPr>
        <w:t>注：固定总价项目报价须覆盖设计变更、材料涨价、法规变化等合同约定由承包商承担的风险；金额保留两位小数，税率以现行税收政策为准。</w:t>
      </w:r>
    </w:p>
    <w:p>
      <w:pPr>
        <w:pStyle w:val="Heading3"/>
        <w:pageBreakBefore/>
        <w:spacing w:before="120"/>
      </w:pPr>
      <w:bookmarkStart w:id="243" w:name="_LarkToc00243"/>
      <w:r>
        <w:t>附件34-4　采购—施工接口与进度协同表</w:t>
      </w:r>
      <w:bookmarkEnd w:id="243"/>
    </w:p>
    <w:p>
      <w:pPr>
        <w:spacing w:before="0" w:after="40" w:line="312" w:lineRule="auto"/>
        <w:ind w:firstLine="0"/>
        <w:jc w:val="left"/>
      </w:pPr>
      <w:r>
        <w:rPr>
          <w:rFonts w:ascii="Times New Roman" w:hAnsi="Times New Roman" w:eastAsia="宋体"/>
          <w:b w:val="0"/>
          <w:i w:val="0"/>
          <w:color w:val="595959"/>
          <w:sz w:val="18"/>
        </w:rPr>
        <w:t>【归属】第34章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【用途】由设计、采购、施工三方共同确认接口节点，长周期设备材料先行冻结技术参数并采购，防止“等图、等货、等厂家配合”造成停工。</w:t>
      </w:r>
    </w:p>
    <w:p>
      <w:pPr>
        <w:keepNext/>
        <w:spacing w:before="80" w:after="40" w:line="288" w:lineRule="auto"/>
        <w:ind w:firstLine="0"/>
        <w:jc w:val="center"/>
      </w:pPr>
      <w:r>
        <w:rPr>
          <w:rFonts w:ascii="Times New Roman" w:hAnsi="Times New Roman" w:eastAsia="黑体"/>
          <w:b/>
          <w:i w:val="0"/>
          <w:color w:val="000000"/>
          <w:sz w:val="21"/>
        </w:rPr>
        <w:t>表34-4　设计—采购—施工接口协同表</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接口事项</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设计交付（图纸/参数）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采购订货</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厂家资料返提</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进场到货</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现场安装</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责任人/状态</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（示例）冷水机组</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2026-05-10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2026-05-20</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2026-06-15</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2026-08-01</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2026-09-10</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□按期□滞后</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电梯/扶梯</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□按期□滞后</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变压器/配电柜</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□按期□滞后</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幕墙/门窗</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□按期□滞后</w:t>
            </w:r>
          </w:p>
        </w:tc>
      </w:tr>
      <w:tr>
        <w:trPr>
          <w:cantSpli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预制构件（如涉）</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□按期□滞后</w:t>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注：关键长周期设备应在合同中约定厂家配合义务与到货逾期责任；示例行用后删除。</w:t>
      </w:r>
    </w:p>
    <w:p>
      <w:pPr>
        <w:pStyle w:val="Heading3"/>
        <w:pageBreakBefore/>
        <w:spacing w:before="120"/>
      </w:pPr>
      <w:bookmarkStart w:id="244" w:name="_LarkToc00244"/>
      <w:r>
        <w:t>附件34-5　投建营（含融资）项目财务测算与可行性表</w:t>
      </w:r>
      <w:bookmarkEnd w:id="244"/>
    </w:p>
    <w:p>
      <w:pPr>
        <w:spacing w:before="0" w:after="40" w:line="312" w:lineRule="auto"/>
        <w:ind w:firstLine="0"/>
        <w:jc w:val="left"/>
      </w:pPr>
      <w:r>
        <w:rPr>
          <w:rFonts w:ascii="Times New Roman" w:hAnsi="Times New Roman" w:eastAsia="宋体"/>
          <w:b w:val="0"/>
          <w:i w:val="0"/>
          <w:color w:val="595959"/>
          <w:sz w:val="18"/>
        </w:rPr>
        <w:t>【归属】第34章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【用途】投资类项目必须做全生命周期测算并做敏感性分析，收益不覆盖融资与风险的项目原则上不投。金额单位：万元。</w:t>
      </w:r>
    </w:p>
    <w:p>
      <w:pPr>
        <w:keepNext/>
        <w:spacing w:before="80" w:after="40" w:line="288" w:lineRule="auto"/>
        <w:ind w:firstLine="0"/>
        <w:jc w:val="center"/>
      </w:pPr>
      <w:r>
        <w:rPr>
          <w:rFonts w:ascii="Times New Roman" w:hAnsi="Times New Roman" w:eastAsia="黑体"/>
          <w:b/>
          <w:i w:val="0"/>
          <w:color w:val="000000"/>
          <w:sz w:val="21"/>
        </w:rPr>
        <w:t>表34-5　投建营项目财务测算表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测算项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基准情形</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敏感性情形（收入-10%/利率上行）</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项目总投资</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建设投资+建设期利息</w:t>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其中：自有资金/融资</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资本金比例按现行规定</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年均运营收入</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以运营方案测算</w:t>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年均运营成本</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年均税金</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以现行税收政策为准</w:t>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年均净现金流</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投资回收期（年）</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内部收益率（IRR）</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是否高于资金成本</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还本付息保障</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本息覆盖倍数</w:t>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测算结论</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□可行□慎投□放弃</w:t>
            </w:r>
          </w:p>
        </w:tc>
      </w:tr>
    </w:tbl>
    <w:p>
      <w:pPr>
        <w:spacing w:before="20" w:after="80" w:line="288" w:lineRule="auto"/>
        <w:ind w:firstLine="0"/>
        <w:jc w:val="left"/>
      </w:pPr>
      <w:r>
        <w:rPr>
          <w:rFonts w:ascii="Times New Roman" w:hAnsi="Times New Roman" w:eastAsia="宋体"/>
          <w:b w:val="0"/>
          <w:i w:val="0"/>
          <w:color w:val="404040"/>
          <w:sz w:val="18"/>
        </w:rPr>
        <w:t>注：资本金比例、税率、利率、回报机制以现行政策、金融机构报价和合同约定为准；本表为测算框架，须委托有资质单位或由公司投资决策委员会评审。</w:t>
      </w:r>
    </w:p>
    <w:p>
      <w:pPr>
        <w:pStyle w:val="Heading3"/>
        <w:pageBreakBefore/>
        <w:spacing w:before="120"/>
      </w:pPr>
      <w:bookmarkStart w:id="245" w:name="_LarkToc00245"/>
      <w:r>
        <w:t>附件34-6　工程总承包合同关键条款与风险核查表</w:t>
      </w:r>
      <w:bookmarkEnd w:id="245"/>
    </w:p>
    <w:p>
      <w:pPr>
        <w:spacing w:before="0" w:after="40" w:line="312" w:lineRule="auto"/>
        <w:ind w:firstLine="0"/>
        <w:jc w:val="left"/>
      </w:pPr>
      <w:r>
        <w:rPr>
          <w:rFonts w:ascii="Times New Roman" w:hAnsi="Times New Roman" w:eastAsia="宋体"/>
          <w:b w:val="0"/>
          <w:i w:val="0"/>
          <w:color w:val="595959"/>
          <w:sz w:val="18"/>
        </w:rPr>
        <w:t>【归属】第34章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【用途】投标签约前由商务、法务、技术逐条核查，对不合理条款在答疑/谈判中提出，明确范围、基准、调价、性能、责任边界。</w:t>
      </w:r>
    </w:p>
    <w:p>
      <w:pPr>
        <w:keepNext/>
        <w:spacing w:before="80" w:after="40" w:line="288" w:lineRule="auto"/>
        <w:ind w:firstLine="0"/>
        <w:jc w:val="center"/>
      </w:pPr>
      <w:r>
        <w:rPr>
          <w:rFonts w:ascii="Times New Roman" w:hAnsi="Times New Roman" w:eastAsia="黑体"/>
          <w:b/>
          <w:i w:val="0"/>
          <w:color w:val="000000"/>
          <w:sz w:val="21"/>
        </w:rPr>
        <w:t>表34-6　EPC合同关键条款风险核查表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核查项</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合同约定</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风险判断</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应对</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承包范围</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设计/采购/施工/运营边界</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价格形式</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固定总价/可调、调价条件</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基准资料</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勘察设计资料移交与风险分担</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变更与索赔</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变更程序、调价时限</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性能指标</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功能/性能验收、考核罚款</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工期与误期赔偿</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误期赔偿上限</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付款与融资</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付款节点、F+EPC还款来源</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违约责任上限</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赔偿是否封顶</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争议解决</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仲裁/管辖地</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□大□中□小</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依据：建市规〔2019〕12号、GF-2020-0216及现行有效版本；具体风险分担以合同专用条款为准。</w:t>
      </w:r>
    </w:p>
    <w:p>
      <w:pPr>
        <w:pStyle w:val="Heading2"/>
        <w:pageBreakBefore/>
      </w:pPr>
      <w:bookmarkStart w:id="42" w:name="_LarkToc00042"/>
      <w:r>
        <w:t>第35章　智慧工地与BIM、数字化施工</w:t>
      </w:r>
      <w:bookmarkEnd w:id="42"/>
    </w:p>
    <w:p>
      <w:pPr>
        <w:pStyle w:val="sec_head"/>
      </w:pPr>
      <w:r>
        <w:t>35.1　“胸中有数”：数字化是管理工具，不是摆设</w:t>
      </w:r>
    </w:p>
    <w:p>
      <w:pPr>
        <w:spacing w:before="0" w:after="0" w:line="360" w:lineRule="auto"/>
        <w:ind w:firstLine="480"/>
        <w:jc w:val="both"/>
      </w:pPr>
      <w:r>
        <w:rPr>
          <w:rFonts w:ascii="Times New Roman" w:hAnsi="Times New Roman" w:eastAsia="宋体"/>
          <w:b w:val="0"/>
          <w:i w:val="0"/>
          <w:color w:val="000000"/>
          <w:sz w:val="24"/>
        </w:rPr>
        <w:t>毛泽东同志在《党委会的工作方法》中讲“胸中有数”，做工作一定要注意数量界限，要有基本的统计、主要的百分比。智慧工地和BIM、数字化平台，本质上就是让项目管理从“凭经验、靠腿跑、翻本子”升级为“看数据、看趋势、看异常”。但必须清醒：数字化是工具，不是目的——装了一套系统却没人填、没人看、没人用，就是花架子，既费钱又增加负担。上不上、上什么、用到什么深度，要服从项目管理的真实痛点，先解决“人的不安全行为、物的不安全状态、进度成本失控”这些老问题。</w:t>
      </w:r>
    </w:p>
    <w:p>
      <w:pPr>
        <w:pStyle w:val="sec_head"/>
      </w:pPr>
      <w:r>
        <w:t>35.2　智慧工地的核心功能模块</w:t>
      </w:r>
    </w:p>
    <w:p>
      <w:pPr>
        <w:spacing w:before="0" w:after="0" w:line="360" w:lineRule="auto"/>
        <w:ind w:firstLine="480"/>
        <w:jc w:val="both"/>
      </w:pPr>
      <w:r>
        <w:rPr>
          <w:rFonts w:ascii="Times New Roman" w:hAnsi="Times New Roman" w:eastAsia="宋体"/>
          <w:b w:val="0"/>
          <w:i w:val="0"/>
          <w:color w:val="000000"/>
          <w:sz w:val="24"/>
        </w:rPr>
        <w:t>智慧工地通常围绕“人、机、料、法、环、测”展开，常见模块包括：</w:t>
      </w:r>
    </w:p>
    <w:p>
      <w:pPr>
        <w:pStyle w:val="ListBullet"/>
        <w:spacing w:before="0" w:after="0" w:line="360" w:lineRule="auto"/>
        <w:ind w:firstLine="0" w:left="420"/>
        <w:jc w:val="both"/>
      </w:pPr>
      <w:r>
        <w:rPr>
          <w:rFonts w:ascii="Times New Roman" w:hAnsi="Times New Roman" w:eastAsia="宋体"/>
          <w:b w:val="0"/>
          <w:i w:val="0"/>
          <w:color w:val="000000"/>
          <w:sz w:val="24"/>
        </w:rPr>
        <w:t>人员管理：实名制门禁、考勤、教育培训、工资发放联动，与农民工工资专户制度衔接。</w:t>
      </w:r>
    </w:p>
    <w:p>
      <w:pPr>
        <w:pStyle w:val="ListBullet"/>
        <w:spacing w:before="0" w:after="0" w:line="360" w:lineRule="auto"/>
        <w:ind w:firstLine="0" w:left="420"/>
        <w:jc w:val="both"/>
      </w:pPr>
      <w:r>
        <w:rPr>
          <w:rFonts w:ascii="Times New Roman" w:hAnsi="Times New Roman" w:eastAsia="宋体"/>
          <w:b w:val="0"/>
          <w:i w:val="0"/>
          <w:color w:val="000000"/>
          <w:sz w:val="24"/>
        </w:rPr>
        <w:t>视频监控：作业面、大门口、材料区视频留痕，支持远程巡查和AI识别（未戴安全帽、危险区域闯入）。</w:t>
      </w:r>
    </w:p>
    <w:p>
      <w:pPr>
        <w:pStyle w:val="ListBullet"/>
        <w:spacing w:before="0" w:after="0" w:line="360" w:lineRule="auto"/>
        <w:ind w:firstLine="0" w:left="420"/>
        <w:jc w:val="both"/>
      </w:pPr>
      <w:r>
        <w:rPr>
          <w:rFonts w:ascii="Times New Roman" w:hAnsi="Times New Roman" w:eastAsia="宋体"/>
          <w:b w:val="0"/>
          <w:i w:val="0"/>
          <w:color w:val="000000"/>
          <w:sz w:val="24"/>
        </w:rPr>
        <w:t>环境监测：扬尘（PM）、噪声在线监测并与喷淋联动，数据对接当地监管平台。</w:t>
      </w:r>
    </w:p>
    <w:p>
      <w:pPr>
        <w:pStyle w:val="ListBullet"/>
        <w:spacing w:before="0" w:after="0" w:line="360" w:lineRule="auto"/>
        <w:ind w:firstLine="0" w:left="420"/>
        <w:jc w:val="both"/>
      </w:pPr>
      <w:r>
        <w:rPr>
          <w:rFonts w:ascii="Times New Roman" w:hAnsi="Times New Roman" w:eastAsia="宋体"/>
          <w:b w:val="0"/>
          <w:i w:val="0"/>
          <w:color w:val="000000"/>
          <w:sz w:val="24"/>
        </w:rPr>
        <w:t>机械监测：塔机安全监控（力矩、倾角、风速、限位）、吊钩可视化、施工升降机监控、深基坑及高支模监测。</w:t>
      </w:r>
    </w:p>
    <w:p>
      <w:pPr>
        <w:pStyle w:val="ListBullet"/>
        <w:spacing w:before="0" w:after="0" w:line="360" w:lineRule="auto"/>
        <w:ind w:firstLine="0" w:left="420"/>
        <w:jc w:val="both"/>
      </w:pPr>
      <w:r>
        <w:rPr>
          <w:rFonts w:ascii="Times New Roman" w:hAnsi="Times New Roman" w:eastAsia="宋体"/>
          <w:b w:val="0"/>
          <w:i w:val="0"/>
          <w:color w:val="000000"/>
          <w:sz w:val="24"/>
        </w:rPr>
        <w:t>其他：临边防护报警、车辆冲洗识别、水电能耗监测等。各地监管要求不同，配置以项目所在地规定和合同要求为准。</w:t>
      </w:r>
    </w:p>
    <w:p>
      <w:pPr>
        <w:pStyle w:val="sec_head"/>
      </w:pPr>
      <w:r>
        <w:t>35.3　BIM应用点与建模深度</w:t>
      </w:r>
    </w:p>
    <w:p>
      <w:pPr>
        <w:spacing w:before="0" w:after="0" w:line="360" w:lineRule="auto"/>
        <w:ind w:firstLine="480"/>
        <w:jc w:val="both"/>
      </w:pPr>
      <w:r>
        <w:rPr>
          <w:rFonts w:ascii="Times New Roman" w:hAnsi="Times New Roman" w:eastAsia="宋体"/>
          <w:b w:val="0"/>
          <w:i w:val="0"/>
          <w:color w:val="000000"/>
          <w:sz w:val="24"/>
        </w:rPr>
        <w:t>BIM不是“画三维效果图”，而是用同一模型承载建筑、结构、机电信息，服务于设计校核、深化设计、算量、施工模拟和技术交底。建模深度按LOD（模型细致程度）分级：方案/初步设计阶段深度较浅，施工图深化、施工指导阶段要求构件级信息，竣工交付模型要与实体一致。应用点贵在精不在多：一个项目抓好碰撞检查、复杂节点深化、管线综合、进度模拟几个高频高价值点，比“全面铺开却无人维护”强得多。</w:t>
      </w:r>
    </w:p>
    <w:p>
      <w:pPr>
        <w:spacing w:before="20" w:after="80" w:line="288" w:lineRule="auto"/>
        <w:ind w:firstLine="0"/>
        <w:jc w:val="left"/>
      </w:pPr>
      <w:r>
        <w:rPr>
          <w:rFonts w:ascii="Times New Roman" w:hAnsi="Times New Roman" w:eastAsia="宋体"/>
          <w:b w:val="0"/>
          <w:i w:val="0"/>
          <w:color w:val="404040"/>
          <w:sz w:val="18"/>
        </w:rPr>
        <w:t>依据：《建筑信息模型应用统一标准》GB/T 51212、《建筑信息模型施工应用标准》GB/T 51235等，均以现行有效版本为准；建模深度与交付要求以合同和业主要求为准。</w:t>
      </w:r>
    </w:p>
    <w:p>
      <w:pPr>
        <w:pStyle w:val="sec_head"/>
      </w:pPr>
      <w:r>
        <w:t>35.4　碰撞检查、深化设计、算量、进度模拟与技术交底</w:t>
      </w:r>
    </w:p>
    <w:p>
      <w:pPr>
        <w:spacing w:before="0" w:after="0" w:line="360" w:lineRule="auto"/>
        <w:ind w:firstLine="480"/>
        <w:jc w:val="both"/>
      </w:pPr>
      <w:r>
        <w:rPr>
          <w:rFonts w:ascii="Times New Roman" w:hAnsi="Times New Roman" w:eastAsia="宋体"/>
          <w:b w:val="0"/>
          <w:i w:val="0"/>
          <w:color w:val="000000"/>
          <w:sz w:val="24"/>
        </w:rPr>
        <w:t>BIM在施工阶段最能落地的几处：一是机电管线综合碰撞检查，把管线打架在开工前解决；二是复杂节点（如钢结构与混凝土连接、机电穿墙）深化出图；三是基于模型的工程量统计辅助算量；四是总平面、大型设备吊装、深基坑支护的进度与工况模拟，提前发现冲突；五是用三维模型给班组做可视化技术交底，比图纸和口头交底更直观。所有模型成果要随工程进展同步更新，“建完就锁起来”等于没做。</w:t>
      </w:r>
    </w:p>
    <w:p>
      <w:pPr>
        <w:pStyle w:val="sec_head"/>
      </w:pPr>
      <w:r>
        <w:t>35.5　数字化项目管理平台</w:t>
      </w:r>
    </w:p>
    <w:p>
      <w:pPr>
        <w:spacing w:before="0" w:after="0" w:line="360" w:lineRule="auto"/>
        <w:ind w:firstLine="480"/>
        <w:jc w:val="both"/>
      </w:pPr>
      <w:r>
        <w:rPr>
          <w:rFonts w:ascii="Times New Roman" w:hAnsi="Times New Roman" w:eastAsia="宋体"/>
          <w:b w:val="0"/>
          <w:i w:val="0"/>
          <w:color w:val="000000"/>
          <w:sz w:val="24"/>
        </w:rPr>
        <w:t>在单点应用之上，进一步用项目管理平台把质量、安全、进度、成本、资料装进一个系统：质量安全检查拍照上传、整改闭环线上流转；进度计划线上填报、偏差自动预警；资料随工程同步归集，避免“竣工补资料”。关键是数据要真实、及时——平台上的数字必须来自现场，而不是办公室里“拍脑袋补录”，否则就是新的形式主义。</w:t>
      </w:r>
    </w:p>
    <w:p>
      <w:pPr>
        <w:pStyle w:val="sec_head"/>
      </w:pPr>
      <w:r>
        <w:t>35.6　投入产出与数据安全</w:t>
      </w:r>
    </w:p>
    <w:p>
      <w:pPr>
        <w:spacing w:before="0" w:after="0" w:line="360" w:lineRule="auto"/>
        <w:ind w:firstLine="480"/>
        <w:jc w:val="both"/>
      </w:pPr>
      <w:r>
        <w:rPr>
          <w:rFonts w:ascii="Times New Roman" w:hAnsi="Times New Roman" w:eastAsia="宋体"/>
          <w:b w:val="0"/>
          <w:i w:val="0"/>
          <w:color w:val="000000"/>
          <w:sz w:val="24"/>
        </w:rPr>
        <w:t>智慧工地和BIM都要花钱：硬件、软件、人员、培训。投标和策划阶段就要算投入产出账，明确哪些是当地监管强制要求（必须投）、哪些是企业自主提效（按需投），防止盲目攀比“智慧工地示范”而超配。同时注意数据安全：人员信息、项目图纸、监测数据涉及商业秘密和个人信息，要按规定授权、备份、脱敏，不能因为上云而裸奔。</w:t>
      </w:r>
    </w:p>
    <w:p>
      <w:pPr>
        <w:pStyle w:val="attach_div"/>
        <w:pageBreakBefore/>
        <w:jc w:val="center"/>
      </w:pPr>
      <w:r>
        <w:t>第35章　章末附件</w:t>
      </w:r>
    </w:p>
    <w:p>
      <w:pPr>
        <w:spacing w:before="0" w:after="0" w:line="360" w:lineRule="auto"/>
        <w:ind w:firstLine="480"/>
        <w:jc w:val="both"/>
      </w:pPr>
      <w:r>
        <w:rPr>
          <w:rFonts w:ascii="Times New Roman" w:hAnsi="Times New Roman" w:eastAsia="宋体"/>
          <w:b w:val="0"/>
          <w:i w:val="0"/>
          <w:color w:val="000000"/>
          <w:sz w:val="24"/>
        </w:rPr>
        <w:t>本页之后为《智慧工地与BIM、数字化施工》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46" w:name="_LarkToc00246"/>
      <w:r>
        <w:t>附件35-1　智慧工地建设需求与功能配置表</w:t>
      </w:r>
      <w:bookmarkEnd w:id="246"/>
    </w:p>
    <w:p>
      <w:pPr>
        <w:spacing w:before="0" w:after="40" w:line="312" w:lineRule="auto"/>
        <w:ind w:firstLine="0"/>
        <w:jc w:val="left"/>
      </w:pPr>
      <w:r>
        <w:rPr>
          <w:rFonts w:ascii="Times New Roman" w:hAnsi="Times New Roman" w:eastAsia="宋体"/>
          <w:b w:val="0"/>
          <w:i w:val="0"/>
          <w:color w:val="595959"/>
          <w:sz w:val="18"/>
        </w:rPr>
        <w:t>【归属】第35章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【用途】投标/策划阶段，对照当地监管要求和项目规模确定配置，区分“强制项”与“增项”，避免盲目超配。金额单位：万元。</w:t>
      </w:r>
    </w:p>
    <w:p>
      <w:pPr>
        <w:keepNext/>
        <w:spacing w:before="80" w:after="40" w:line="288" w:lineRule="auto"/>
        <w:ind w:firstLine="0"/>
        <w:jc w:val="center"/>
      </w:pPr>
      <w:r>
        <w:rPr>
          <w:rFonts w:ascii="Times New Roman" w:hAnsi="Times New Roman" w:eastAsia="黑体"/>
          <w:b/>
          <w:i w:val="0"/>
          <w:color w:val="000000"/>
          <w:sz w:val="21"/>
        </w:rPr>
        <w:t>表35-1　智慧工地功能配置与投入表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功能模块</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主要内容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是否强制</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配置方式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估算投入</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实名制门禁</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人脸/闸机、考勤、工资联动</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□采购□租赁</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安全/综合办</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视频监控</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作业面、大门、材料区</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□采购□租赁</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扬尘噪声监测</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PM、噪声在线监测联动喷淋</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□采购□租赁</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文明施工</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塔机监测</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力矩、限位、风速、吊钩可视化</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□采购□租赁</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机械</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升降机监测</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限载、防坠、运行记录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□采购□租赁</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机械</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深基坑/高支模监测</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位移、沉降、应力自动监测</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□采购□租赁</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w:t>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注：各地智慧工地监管要求不同，强制项以项目所在地主管部门规定及合同为准；金额保留两位小数。</w:t>
      </w:r>
    </w:p>
    <w:p>
      <w:pPr>
        <w:pStyle w:val="Heading3"/>
        <w:pageBreakBefore/>
        <w:spacing w:before="120"/>
      </w:pPr>
      <w:bookmarkStart w:id="247" w:name="_LarkToc00247"/>
      <w:r>
        <w:t>附件35-2　BIM实施策划与应用点清单</w:t>
      </w:r>
      <w:bookmarkEnd w:id="247"/>
    </w:p>
    <w:p>
      <w:pPr>
        <w:spacing w:before="0" w:after="40" w:line="312" w:lineRule="auto"/>
        <w:ind w:firstLine="0"/>
        <w:jc w:val="left"/>
      </w:pPr>
      <w:r>
        <w:rPr>
          <w:rFonts w:ascii="Times New Roman" w:hAnsi="Times New Roman" w:eastAsia="宋体"/>
          <w:b w:val="0"/>
          <w:i w:val="0"/>
          <w:color w:val="595959"/>
          <w:sz w:val="18"/>
        </w:rPr>
        <w:t>【归属】第35章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【用途】开工前明确BIM应用目标、人员、软件、交付物，按价值排序选定应用点，不贪多求全。</w:t>
      </w:r>
    </w:p>
    <w:p>
      <w:pPr>
        <w:keepNext/>
        <w:spacing w:before="80" w:after="40" w:line="288" w:lineRule="auto"/>
        <w:ind w:firstLine="0"/>
        <w:jc w:val="center"/>
      </w:pPr>
      <w:r>
        <w:rPr>
          <w:rFonts w:ascii="Times New Roman" w:hAnsi="Times New Roman" w:eastAsia="黑体"/>
          <w:b/>
          <w:i w:val="0"/>
          <w:color w:val="000000"/>
          <w:sz w:val="21"/>
        </w:rPr>
        <w:t>表35-2　BIM应用点清单与实施计划</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应用点</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应用目标</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模型深度(LOD)</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完成时间</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交付物</w:t>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（示例）机电管线综合碰撞</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提前解决管线打架</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LOD350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BIM工程师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2026-05</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碰撞报告+综合管线图</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复杂节点深化</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指导现场施工</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LOD350</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工程量统计</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辅助算量</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LOD300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进度模拟</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总平面/吊装工况</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LOD300</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可视化技术交底</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班组交底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LOD300</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竣工模型交付</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运维移交</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LOD350</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依据：GB/T 51212、GB/T 51235（以现行有效版本为准）；LOD分级以标准和合同约定为准。示例行用后删除。</w:t>
      </w:r>
    </w:p>
    <w:p>
      <w:pPr>
        <w:pStyle w:val="Heading3"/>
        <w:pageBreakBefore/>
        <w:spacing w:before="120"/>
      </w:pPr>
      <w:bookmarkStart w:id="248" w:name="_LarkToc00248"/>
      <w:r>
        <w:t>附件35-3　BIM建模深度（LOD）与协同管理、交付标准表</w:t>
      </w:r>
      <w:bookmarkEnd w:id="248"/>
    </w:p>
    <w:p>
      <w:pPr>
        <w:spacing w:before="0" w:after="40" w:line="312" w:lineRule="auto"/>
        <w:ind w:firstLine="0"/>
        <w:jc w:val="left"/>
      </w:pPr>
      <w:r>
        <w:rPr>
          <w:rFonts w:ascii="Times New Roman" w:hAnsi="Times New Roman" w:eastAsia="宋体"/>
          <w:b w:val="0"/>
          <w:i w:val="0"/>
          <w:color w:val="595959"/>
          <w:sz w:val="18"/>
        </w:rPr>
        <w:t>【归属】第35章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【用途】明确各阶段模型精细度、协同规则和竣工交付要求，防止模型与实体“两张皮”。</w:t>
      </w:r>
    </w:p>
    <w:p>
      <w:pPr>
        <w:keepNext/>
        <w:spacing w:before="80" w:after="40" w:line="288" w:lineRule="auto"/>
        <w:ind w:firstLine="0"/>
        <w:jc w:val="center"/>
      </w:pPr>
      <w:r>
        <w:rPr>
          <w:rFonts w:ascii="Times New Roman" w:hAnsi="Times New Roman" w:eastAsia="黑体"/>
          <w:b/>
          <w:i w:val="0"/>
          <w:color w:val="000000"/>
          <w:sz w:val="21"/>
        </w:rPr>
        <w:t>表35-3　BIM建模深度与交付标准表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阶段</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建模深度(LOD)</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模型包含信息</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协同要求</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交付物</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方案/初设</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低（方案级）</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建筑体量、主要系统</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各专业初步整合</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方案模型</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施工图深化</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中（构件级）</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构件尺寸、材质、位置</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管线综合、碰撞协调</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深化模型/图纸</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施工指导</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高（工序级）</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施工段、进度、预留预埋</w:t>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随变更实时更新</w:t>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施工模型</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竣工交付</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高（竣工级）</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与实体一致、设备参数</w:t>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竣工核查</w:t>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竣工模型</w:t>
            </w:r>
          </w:p>
        </w:tc>
      </w:tr>
    </w:tbl>
    <w:p>
      <w:pPr>
        <w:spacing w:before="20" w:after="80" w:line="288" w:lineRule="auto"/>
        <w:ind w:firstLine="0"/>
        <w:jc w:val="left"/>
      </w:pPr>
      <w:r>
        <w:rPr>
          <w:rFonts w:ascii="Times New Roman" w:hAnsi="Times New Roman" w:eastAsia="宋体"/>
          <w:b w:val="0"/>
          <w:i w:val="0"/>
          <w:color w:val="404040"/>
          <w:sz w:val="18"/>
        </w:rPr>
        <w:t>注：LOD具体等级划分以现行BIM标准及合同约定为准；模型应随工程变更同步维护，不得“建完即弃”。</w:t>
      </w:r>
    </w:p>
    <w:p>
      <w:pPr>
        <w:pStyle w:val="Heading3"/>
        <w:pageBreakBefore/>
        <w:spacing w:before="120"/>
      </w:pPr>
      <w:bookmarkStart w:id="249" w:name="_LarkToc00249"/>
      <w:r>
        <w:t>附件35-4　数字化项目管理平台模块应用与数据填报表</w:t>
      </w:r>
      <w:bookmarkEnd w:id="249"/>
    </w:p>
    <w:p>
      <w:pPr>
        <w:spacing w:before="0" w:after="40" w:line="312" w:lineRule="auto"/>
        <w:ind w:firstLine="0"/>
        <w:jc w:val="left"/>
      </w:pPr>
      <w:r>
        <w:rPr>
          <w:rFonts w:ascii="Times New Roman" w:hAnsi="Times New Roman" w:eastAsia="宋体"/>
          <w:b w:val="0"/>
          <w:i w:val="0"/>
          <w:color w:val="595959"/>
          <w:sz w:val="18"/>
        </w:rPr>
        <w:t>【归属】第35章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【用途】明确平台各模块由谁填、何时填、填什么，数据必须来自现场、真实及时，杜绝办公室补录。</w:t>
      </w:r>
    </w:p>
    <w:p>
      <w:pPr>
        <w:keepNext/>
        <w:spacing w:before="80" w:after="40" w:line="288" w:lineRule="auto"/>
        <w:ind w:firstLine="0"/>
        <w:jc w:val="center"/>
      </w:pPr>
      <w:r>
        <w:rPr>
          <w:rFonts w:ascii="Times New Roman" w:hAnsi="Times New Roman" w:eastAsia="黑体"/>
          <w:b/>
          <w:i w:val="0"/>
          <w:color w:val="000000"/>
          <w:sz w:val="21"/>
        </w:rPr>
        <w:t>表35-4　数字化平台模块应用与数据责任表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模块</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填报内容</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填报频率</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数据来源</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是否上线运行</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质量检查</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检查问题、整改闭环</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每日/每次</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质量员</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现场检查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安全巡查</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隐患、整改、复查</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每日</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安全员</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现场巡查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进度管理</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计划/实际完成量</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周/月</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施工员</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现场统计</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实名制考勤</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进场、考勤、工资</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每日</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劳务员</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门禁系统</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物料验收</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进场验收、影像</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每批</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材料员</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现场过磅/验收</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资料管理</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检验批、隐蔽影像</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随工序</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资料员</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现场资料</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注：平台数据应与纸质/现场记录一致，定期抽查；涉及个人信息应脱敏、授权使用。</w:t>
      </w:r>
    </w:p>
    <w:p>
      <w:pPr>
        <w:pStyle w:val="Heading3"/>
        <w:pageBreakBefore/>
        <w:spacing w:before="120"/>
      </w:pPr>
      <w:bookmarkStart w:id="250" w:name="_LarkToc00250"/>
      <w:r>
        <w:t>附件35-5　智慧工地/BIM投入产出（成本—效益）评估表</w:t>
      </w:r>
      <w:bookmarkEnd w:id="250"/>
    </w:p>
    <w:p>
      <w:pPr>
        <w:spacing w:before="0" w:after="40" w:line="312" w:lineRule="auto"/>
        <w:ind w:firstLine="0"/>
        <w:jc w:val="left"/>
      </w:pPr>
      <w:r>
        <w:rPr>
          <w:rFonts w:ascii="Times New Roman" w:hAnsi="Times New Roman" w:eastAsia="宋体"/>
          <w:b w:val="0"/>
          <w:i w:val="0"/>
          <w:color w:val="595959"/>
          <w:sz w:val="18"/>
        </w:rPr>
        <w:t>【归属】第35章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【用途】策划阶段算清账，区分监管强制投入与自主增效投入，避免为“示范”而超配。金额单位：万元。</w:t>
      </w:r>
    </w:p>
    <w:p>
      <w:pPr>
        <w:keepNext/>
        <w:spacing w:before="80" w:after="40" w:line="288" w:lineRule="auto"/>
        <w:ind w:firstLine="0"/>
        <w:jc w:val="center"/>
      </w:pPr>
      <w:r>
        <w:rPr>
          <w:rFonts w:ascii="Times New Roman" w:hAnsi="Times New Roman" w:eastAsia="黑体"/>
          <w:b/>
          <w:i w:val="0"/>
          <w:color w:val="000000"/>
          <w:sz w:val="21"/>
        </w:rPr>
        <w:t>表35-5　数字化投入产出评估表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317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投入/效益项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金额/说明</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性质</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一、硬件投入（监控、闸机、监测设备）</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□强制□自主</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二、软件/平台服务费</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□强制□自主</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三、BIM建模与人员投入</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□强制□自主</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四、培训与运维</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□强制□自主</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投入合计</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317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预期效益（减少返工/停工、监管规避、管理提效）</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定性</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不写死收益比例</w:t>
            </w:r>
          </w:p>
        </w:tc>
      </w:tr>
      <w:tr>
        <w:trPr>
          <w:cantSplit/>
        </w:trPr>
        <w:tc>
          <w:tcPr>
            <w:tcW w:type="dxa" w:w="317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评估结论</w:t>
            </w:r>
          </w:p>
        </w:tc>
        <w:tc>
          <w:tcPr>
            <w:tcW w:type="dxa" w:w="147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□经济合理□偏贵□仅满足监管</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注：数字化效益以定性为主，不编造具体收益比例；金额保留两位小数。</w:t>
      </w:r>
    </w:p>
    <w:p>
      <w:pPr>
        <w:pStyle w:val="Heading2"/>
        <w:pageBreakBefore/>
      </w:pPr>
      <w:bookmarkStart w:id="43" w:name="_LarkToc00043"/>
      <w:r>
        <w:t>第36章　绿色低碳建筑：绿色建筑与“双碳”实践</w:t>
      </w:r>
      <w:bookmarkEnd w:id="43"/>
    </w:p>
    <w:p>
      <w:pPr>
        <w:pStyle w:val="sec_head"/>
      </w:pPr>
      <w:r>
        <w:t>36.1　为子孙后代着想：绿色低碳是“长远根据地”</w:t>
      </w:r>
    </w:p>
    <w:p>
      <w:pPr>
        <w:spacing w:before="0" w:after="0" w:line="360" w:lineRule="auto"/>
        <w:ind w:firstLine="480"/>
        <w:jc w:val="both"/>
      </w:pPr>
      <w:r>
        <w:rPr>
          <w:rFonts w:ascii="Times New Roman" w:hAnsi="Times New Roman" w:eastAsia="宋体"/>
          <w:b w:val="0"/>
          <w:i w:val="0"/>
          <w:color w:val="000000"/>
          <w:sz w:val="24"/>
        </w:rPr>
        <w:t>毛泽东同志号召“绿化祖国”，强调做事要对人民群众、对长远负责。建筑领域的绿色低碳，既是国家“双碳”战略的长期方向，也是施工企业必须面对的新标准、新市场。绿色建筑不是“多花钱做绿化”，而是在安全、健康、舒适、节能、节水、节材、节地和环境保护上全面达标；碳排放管理也不再是概念，而是逐步延伸到建材生产、运输、施工全过程。企业要主动学习标准、积累业绩，把绿色低碳从“额外负担”变成“投标加分项”和新的业务能力。</w:t>
      </w:r>
    </w:p>
    <w:p>
      <w:pPr>
        <w:pStyle w:val="sec_head"/>
      </w:pPr>
      <w:r>
        <w:t>36.2　绿色建筑星级评价</w:t>
      </w:r>
    </w:p>
    <w:p>
      <w:pPr>
        <w:spacing w:before="0" w:after="0" w:line="360" w:lineRule="auto"/>
        <w:ind w:firstLine="480"/>
        <w:jc w:val="both"/>
      </w:pPr>
      <w:r>
        <w:rPr>
          <w:rFonts w:ascii="Times New Roman" w:hAnsi="Times New Roman" w:eastAsia="宋体"/>
          <w:b w:val="0"/>
          <w:i w:val="0"/>
          <w:color w:val="000000"/>
          <w:sz w:val="24"/>
        </w:rPr>
        <w:t>我国绿色建筑按绿色建筑评价标准进行星级评价，围绕安全耐久、健康舒适、生活便利、资源节约、环境宜居等指标进行评分，并提高与提高和创新项。绿色建筑星级目标应在设计策划阶段就明确，施工阶段按目标落实相应技术措施，不能“中标时说要高星级、施工时啥也没做”。具体评价指标、分值、星级门槛以现行评价标准为准。</w:t>
      </w:r>
    </w:p>
    <w:p>
      <w:pPr>
        <w:spacing w:before="20" w:after="80" w:line="288" w:lineRule="auto"/>
        <w:ind w:firstLine="0"/>
        <w:jc w:val="left"/>
      </w:pPr>
      <w:r>
        <w:rPr>
          <w:rFonts w:ascii="Times New Roman" w:hAnsi="Times New Roman" w:eastAsia="宋体"/>
          <w:b w:val="0"/>
          <w:i w:val="0"/>
          <w:color w:val="404040"/>
          <w:sz w:val="18"/>
        </w:rPr>
        <w:t>依据：《绿色建筑评价标准》GB/T 50378（以现行有效版本为准）；星级目标以项目设计文件和业主要求为准。</w:t>
      </w:r>
    </w:p>
    <w:p>
      <w:pPr>
        <w:pStyle w:val="sec_head"/>
      </w:pPr>
      <w:r>
        <w:t>36.3　节能设计与可再生能源应用</w:t>
      </w:r>
    </w:p>
    <w:p>
      <w:pPr>
        <w:spacing w:before="0" w:after="0" w:line="360" w:lineRule="auto"/>
        <w:ind w:firstLine="480"/>
        <w:jc w:val="both"/>
      </w:pPr>
      <w:r>
        <w:rPr>
          <w:rFonts w:ascii="Times New Roman" w:hAnsi="Times New Roman" w:eastAsia="宋体"/>
          <w:b w:val="0"/>
          <w:i w:val="0"/>
          <w:color w:val="000000"/>
          <w:sz w:val="24"/>
        </w:rPr>
        <w:t>节能是绿色建筑的核心。建筑围护结构（外墙、屋面、外窗、遮阳）保温隔热、高效照明与电气设备、暖通空调系统能效、能源计量分项，是基本盘；在此之上，结合项目条件应用太阳能光伏、太阳能热水、空气源热泵、再生水利用等可再生能源和节水措施。施工中要保证节能工程按图施工、材料设备能效参数与设计一致，不得“设计高能效、施工换低质”。</w:t>
      </w:r>
    </w:p>
    <w:p>
      <w:pPr>
        <w:pStyle w:val="sec_head"/>
      </w:pPr>
      <w:r>
        <w:t>36.4　绿色建材</w:t>
      </w:r>
    </w:p>
    <w:p>
      <w:pPr>
        <w:spacing w:before="0" w:after="0" w:line="360" w:lineRule="auto"/>
        <w:ind w:firstLine="480"/>
        <w:jc w:val="both"/>
      </w:pPr>
      <w:r>
        <w:rPr>
          <w:rFonts w:ascii="Times New Roman" w:hAnsi="Times New Roman" w:eastAsia="宋体"/>
          <w:b w:val="0"/>
          <w:i w:val="0"/>
          <w:color w:val="000000"/>
          <w:sz w:val="24"/>
        </w:rPr>
        <w:t>绿色建筑要求一定比例使用绿色建材（获得绿色建材评价标识），包括预拌混凝土、预拌砂浆、节能门窗、绝热材料、装饰装修材料等。采购时要明确绿色建材比例和标识要求，进场查验绿色建材评价标识和检测报告，建立绿色建材采购与进场台账，既满足评价要求，也从源头控制室内环境污染。</w:t>
      </w:r>
    </w:p>
    <w:p>
      <w:pPr>
        <w:pStyle w:val="sec_head"/>
      </w:pPr>
      <w:r>
        <w:t>36.5　建筑施工与建材碳排放计算</w:t>
      </w:r>
    </w:p>
    <w:p>
      <w:pPr>
        <w:spacing w:before="0" w:after="0" w:line="360" w:lineRule="auto"/>
        <w:ind w:firstLine="480"/>
        <w:jc w:val="both"/>
      </w:pPr>
      <w:r>
        <w:rPr>
          <w:rFonts w:ascii="Times New Roman" w:hAnsi="Times New Roman" w:eastAsia="宋体"/>
          <w:b w:val="0"/>
          <w:i w:val="0"/>
          <w:color w:val="000000"/>
          <w:sz w:val="24"/>
        </w:rPr>
        <w:t>建筑碳排放贯穿建材生产、运输、施工建造和运行维护全过程。施工阶段主要涉及：建材隐含碳排放（水泥、钢材、商品混凝土等生产与运输）、施工机械能耗、临时设施和现场碳排放。随着建筑碳排放计算标准的推行，重点项目将要求核算建材碳排放并采取减排措施。施工企业能做的，是通过优化施工方案、提高材料利用率、就近采购减少运输、节约现场用电用油来降低施工碳排放；具体计算边界、排放因子以现行建筑碳排放计算标准和项目要求为准，不编造减排比例。</w:t>
      </w:r>
    </w:p>
    <w:p>
      <w:pPr>
        <w:pStyle w:val="sec_head"/>
      </w:pPr>
      <w:r>
        <w:t>36.6　近零能耗与零碳建筑试点</w:t>
      </w:r>
    </w:p>
    <w:p>
      <w:pPr>
        <w:spacing w:before="0" w:after="0" w:line="360" w:lineRule="auto"/>
        <w:ind w:firstLine="480"/>
        <w:jc w:val="both"/>
      </w:pPr>
      <w:r>
        <w:rPr>
          <w:rFonts w:ascii="Times New Roman" w:hAnsi="Times New Roman" w:eastAsia="宋体"/>
          <w:b w:val="0"/>
          <w:i w:val="0"/>
          <w:color w:val="000000"/>
          <w:sz w:val="24"/>
        </w:rPr>
        <w:t>近零能耗建筑、超低能耗建筑和零碳建筑是绿色建筑的高端方向，通过高性能围护结构、高效热回收、自然通风采光、可再生能源优先等技术，大幅降低供暖空调需求。这类项目技术要求高、增量成本明显，企业宜结合自身能力和政策补贴谨慎参与试点，积累技术与业绩，不宜盲目铺摊子。</w:t>
      </w:r>
    </w:p>
    <w:p>
      <w:pPr>
        <w:pStyle w:val="sec_head"/>
      </w:pPr>
      <w:r>
        <w:t>36.7　绿色施工与绿色建造示范</w:t>
      </w:r>
    </w:p>
    <w:p>
      <w:pPr>
        <w:spacing w:before="0" w:after="0" w:line="360" w:lineRule="auto"/>
        <w:ind w:firstLine="480"/>
        <w:jc w:val="both"/>
      </w:pPr>
      <w:r>
        <w:rPr>
          <w:rFonts w:ascii="Times New Roman" w:hAnsi="Times New Roman" w:eastAsia="宋体"/>
          <w:b w:val="0"/>
          <w:i w:val="0"/>
          <w:color w:val="000000"/>
          <w:sz w:val="24"/>
        </w:rPr>
        <w:t>绿色施工在第7章“四节一环保”和扬尘六个百分之百的基础上，进一步强调节材、节水、节能、节地和环境保护的过程控制。绿色建造示范工程申报，要求过程资料完整、指标可查。施工企业应把日常绿色文明施工记录、扬尘噪声监测、节水节电节材数据、绿色建材台账同步整理，作为申报和评价的依据，避免“临评补资料”。</w:t>
      </w:r>
    </w:p>
    <w:p>
      <w:pPr>
        <w:pStyle w:val="sec_head"/>
      </w:pPr>
      <w:r>
        <w:t>36.8　增量成本与政策激励</w:t>
      </w:r>
    </w:p>
    <w:p>
      <w:pPr>
        <w:spacing w:before="0" w:after="0" w:line="360" w:lineRule="auto"/>
        <w:ind w:firstLine="480"/>
        <w:jc w:val="both"/>
      </w:pPr>
      <w:r>
        <w:rPr>
          <w:rFonts w:ascii="Times New Roman" w:hAnsi="Times New Roman" w:eastAsia="宋体"/>
          <w:b w:val="0"/>
          <w:i w:val="0"/>
          <w:color w:val="000000"/>
          <w:sz w:val="24"/>
        </w:rPr>
        <w:t>绿色建筑和可再生能源应用往往带来一定增量成本，要在投标策划阶段测算清楚，并主动了解当地财政补贴、容积率奖励、绿色金融（绿色信贷、绿色债券）等激励政策，用政策收益对冲增量成本。各项补贴标准、奖励口径以项目所在地现行政策为准，不得自行假设。</w:t>
      </w:r>
    </w:p>
    <w:p>
      <w:pPr>
        <w:pStyle w:val="attach_div"/>
        <w:pageBreakBefore/>
        <w:jc w:val="center"/>
      </w:pPr>
      <w:r>
        <w:t>第36章　章末附件</w:t>
      </w:r>
    </w:p>
    <w:p>
      <w:pPr>
        <w:spacing w:before="0" w:after="0" w:line="360" w:lineRule="auto"/>
        <w:ind w:firstLine="480"/>
        <w:jc w:val="both"/>
      </w:pPr>
      <w:r>
        <w:rPr>
          <w:rFonts w:ascii="Times New Roman" w:hAnsi="Times New Roman" w:eastAsia="宋体"/>
          <w:b w:val="0"/>
          <w:i w:val="0"/>
          <w:color w:val="000000"/>
          <w:sz w:val="24"/>
        </w:rPr>
        <w:t>本页之后为《绿色低碳建筑：绿色建筑与“双碳”实践》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51" w:name="_LarkToc00251"/>
      <w:r>
        <w:t>附件36-1　绿色建筑星级目标与评价指标策划表</w:t>
      </w:r>
      <w:bookmarkEnd w:id="251"/>
    </w:p>
    <w:p>
      <w:pPr>
        <w:spacing w:before="0" w:after="40" w:line="312" w:lineRule="auto"/>
        <w:ind w:firstLine="0"/>
        <w:jc w:val="left"/>
      </w:pPr>
      <w:r>
        <w:rPr>
          <w:rFonts w:ascii="Times New Roman" w:hAnsi="Times New Roman" w:eastAsia="宋体"/>
          <w:b w:val="0"/>
          <w:i w:val="0"/>
          <w:color w:val="595959"/>
          <w:sz w:val="18"/>
        </w:rPr>
        <w:t>【归属】第36章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【用途】设计/投标阶段明确绿色建筑星级目标，按评价标准五大指标分解落实措施，施工阶段对照检查，确保“评得上、做得到”。</w:t>
      </w:r>
    </w:p>
    <w:p>
      <w:pPr>
        <w:keepNext/>
        <w:spacing w:before="80" w:after="40" w:line="288" w:lineRule="auto"/>
        <w:ind w:firstLine="0"/>
        <w:jc w:val="center"/>
      </w:pPr>
      <w:r>
        <w:rPr>
          <w:rFonts w:ascii="Times New Roman" w:hAnsi="Times New Roman" w:eastAsia="黑体"/>
          <w:b/>
          <w:i w:val="0"/>
          <w:color w:val="000000"/>
          <w:sz w:val="21"/>
        </w:rPr>
        <w:t>表36-1　绿色建筑星级目标与指标策划表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指标类别</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主要内容（定性）</w:t>
            </w:r>
          </w:p>
        </w:tc>
        <w:tc>
          <w:tcPr>
            <w:tcW w:type="dxa" w:w="226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本项目拟采取措施</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责任方</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落实情况</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安全耐久</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结构安全、耐久防护</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设计/施工</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□落实□待办</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健康舒适</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空气质量、声光热环境</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设计/装修</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□落实□待办</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生活便利</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无障碍、智能化、服务设施</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□落实□待办</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资源节约</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节材、节水、节能、节地</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设计/施工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□落实□待办</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环境宜居</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绿地、景观、室外环境</w:t>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□落实□待办</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提高与创新</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加分项、创新技术</w:t>
            </w:r>
          </w:p>
        </w:tc>
        <w:tc>
          <w:tcPr>
            <w:tcW w:type="dxa" w:w="226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设计</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□落实□待办</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26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依据：《绿色建筑评价标准》GB/T 50378（以现行有效版本为准）；星级目标以设计文件和业主要求为准，具体分值不写死。</w:t>
      </w:r>
    </w:p>
    <w:p>
      <w:pPr>
        <w:pStyle w:val="Heading3"/>
        <w:pageBreakBefore/>
        <w:spacing w:before="120"/>
      </w:pPr>
      <w:bookmarkStart w:id="252" w:name="_LarkToc00252"/>
      <w:r>
        <w:t>附件36-2　节能与可再生能源应用措施表</w:t>
      </w:r>
      <w:bookmarkEnd w:id="252"/>
    </w:p>
    <w:p>
      <w:pPr>
        <w:spacing w:before="0" w:after="40" w:line="312" w:lineRule="auto"/>
        <w:ind w:firstLine="0"/>
        <w:jc w:val="left"/>
      </w:pPr>
      <w:r>
        <w:rPr>
          <w:rFonts w:ascii="Times New Roman" w:hAnsi="Times New Roman" w:eastAsia="宋体"/>
          <w:b w:val="0"/>
          <w:i w:val="0"/>
          <w:color w:val="595959"/>
          <w:sz w:val="18"/>
        </w:rPr>
        <w:t>【归属】第36章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【用途】对照设计文件列出节能与可再生能源措施，施工中保证材料设备参数与设计一致，并留存进场检验和调试记录。</w:t>
      </w:r>
    </w:p>
    <w:p>
      <w:pPr>
        <w:keepNext/>
        <w:spacing w:before="80" w:after="40" w:line="288" w:lineRule="auto"/>
        <w:ind w:firstLine="0"/>
        <w:jc w:val="center"/>
      </w:pPr>
      <w:r>
        <w:rPr>
          <w:rFonts w:ascii="Times New Roman" w:hAnsi="Times New Roman" w:eastAsia="黑体"/>
          <w:b/>
          <w:i w:val="0"/>
          <w:color w:val="000000"/>
          <w:sz w:val="21"/>
        </w:rPr>
        <w:t>表36-2　节能与可再生能源应用措施表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措施类别</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具体措施</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应用部位</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设备/材料能效要求</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实施/验收记录</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围护结构保温</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外墙、屋面、外窗、遮阳</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按设计/节能标准</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高效设备</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高效照明、空调、电梯</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能效等级符合设计</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（示例）太阳能光伏</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屋顶分布式光伏</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屋面</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组件、逆变器参数</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已按图施工</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太阳能热水</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集中/分户热水系统</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公寓/宿舍</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可再生能源</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空气源热泵等</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节水措施</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节水器具、再生水、雨水</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注：设备能效、可再生能源比例以设计文件和现行节能标准为准；示例行用后删除。</w:t>
      </w:r>
    </w:p>
    <w:p>
      <w:pPr>
        <w:pStyle w:val="Heading3"/>
        <w:pageBreakBefore/>
        <w:spacing w:before="120"/>
      </w:pPr>
      <w:bookmarkStart w:id="253" w:name="_LarkToc00253"/>
      <w:r>
        <w:t>附件36-3　建筑施工阶段碳排放计算与减排措施表</w:t>
      </w:r>
      <w:bookmarkEnd w:id="253"/>
    </w:p>
    <w:p>
      <w:pPr>
        <w:spacing w:before="0" w:after="40" w:line="312" w:lineRule="auto"/>
        <w:ind w:firstLine="0"/>
        <w:jc w:val="left"/>
      </w:pPr>
      <w:r>
        <w:rPr>
          <w:rFonts w:ascii="Times New Roman" w:hAnsi="Times New Roman" w:eastAsia="宋体"/>
          <w:b w:val="0"/>
          <w:i w:val="0"/>
          <w:color w:val="595959"/>
          <w:sz w:val="18"/>
        </w:rPr>
        <w:t>【归属】第36章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【用途】重点项目按现行建筑碳排放计算标准核算施工阶段建材与施工碳排放，并采取减排措施；计算边界与排放因子以现行标准为准。金额单位：万元。</w:t>
      </w:r>
    </w:p>
    <w:p>
      <w:pPr>
        <w:keepNext/>
        <w:spacing w:before="80" w:after="40" w:line="288" w:lineRule="auto"/>
        <w:ind w:firstLine="0"/>
        <w:jc w:val="center"/>
      </w:pPr>
      <w:r>
        <w:rPr>
          <w:rFonts w:ascii="Times New Roman" w:hAnsi="Times New Roman" w:eastAsia="黑体"/>
          <w:b/>
          <w:i w:val="0"/>
          <w:color w:val="000000"/>
          <w:sz w:val="21"/>
        </w:rPr>
        <w:t>表36-3　施工阶段碳排放与减排措施表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排放源</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主要活动</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减排措施</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责任部门</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效果（定性）</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建材隐含碳</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水泥、钢材、商砼生产与运输</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就近采购、优化配合比、提高利用率</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采购/技术</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定性评估</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材料运输</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建材、渣土运输</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合理组织、集中运输、减少空驶</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物资</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定性评估</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施工机械能耗</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机械用油用电</w:t>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合理调度、避免怠速、新能源设备</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机械</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定性评估</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临时设施</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临建、办公生活区能耗</w:t>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周转材料、节能电器</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综合办</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定性评估</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注：建筑碳排放计算边界、排放因子以现行建筑碳排放计算标准及项目要求为准；本表不写死碳排放绝对值和减排百分比。</w:t>
      </w:r>
    </w:p>
    <w:p>
      <w:pPr>
        <w:pStyle w:val="Heading3"/>
        <w:pageBreakBefore/>
        <w:spacing w:before="120"/>
      </w:pPr>
      <w:bookmarkStart w:id="254" w:name="_LarkToc00254"/>
      <w:r>
        <w:t>附件36-4　绿色建材采购与进场台账</w:t>
      </w:r>
      <w:bookmarkEnd w:id="254"/>
    </w:p>
    <w:p>
      <w:pPr>
        <w:spacing w:before="0" w:after="40" w:line="312" w:lineRule="auto"/>
        <w:ind w:firstLine="0"/>
        <w:jc w:val="left"/>
      </w:pPr>
      <w:r>
        <w:rPr>
          <w:rFonts w:ascii="Times New Roman" w:hAnsi="Times New Roman" w:eastAsia="宋体"/>
          <w:b w:val="0"/>
          <w:i w:val="0"/>
          <w:color w:val="595959"/>
          <w:sz w:val="18"/>
        </w:rPr>
        <w:t>【归属】第36章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【用途】按绿色建筑要求采购绿色建材，进场查验绿色建材评价标识和检测报告，台账作为绿色建筑评价和绿色建造示范申报依据。</w:t>
      </w:r>
    </w:p>
    <w:p>
      <w:pPr>
        <w:keepNext/>
        <w:spacing w:before="80" w:after="40" w:line="288" w:lineRule="auto"/>
        <w:ind w:firstLine="0"/>
        <w:jc w:val="center"/>
      </w:pPr>
      <w:r>
        <w:rPr>
          <w:rFonts w:ascii="Times New Roman" w:hAnsi="Times New Roman" w:eastAsia="黑体"/>
          <w:b/>
          <w:i w:val="0"/>
          <w:color w:val="000000"/>
          <w:sz w:val="21"/>
        </w:rPr>
        <w:t>表36-4　绿色建材采购与进场台账</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材料名称</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数量</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绿色建材标识/证书</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进场日期</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检测报告</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验收人</w:t>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（示例）预拌混凝土</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C30</w:t>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1200.00m³</w:t>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□有绿色标识</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2026-04-10</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□有□无</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□有□无</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□合格</w:t>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注：绿色建材应符合绿色建筑评价对绿色建材应用比例的要求；数量保留两位小数。示例行用后删除。</w:t>
      </w:r>
    </w:p>
    <w:p>
      <w:pPr>
        <w:pStyle w:val="Heading3"/>
        <w:pageBreakBefore/>
        <w:spacing w:before="120"/>
      </w:pPr>
      <w:bookmarkStart w:id="255" w:name="_LarkToc00255"/>
      <w:r>
        <w:t>附件36-5　绿色建造示范项目申报与过程记录表</w:t>
      </w:r>
      <w:bookmarkEnd w:id="255"/>
    </w:p>
    <w:p>
      <w:pPr>
        <w:spacing w:before="0" w:after="40" w:line="312" w:lineRule="auto"/>
        <w:ind w:firstLine="0"/>
        <w:jc w:val="left"/>
      </w:pPr>
      <w:r>
        <w:rPr>
          <w:rFonts w:ascii="Times New Roman" w:hAnsi="Times New Roman" w:eastAsia="宋体"/>
          <w:b w:val="0"/>
          <w:i w:val="0"/>
          <w:color w:val="595959"/>
          <w:sz w:val="18"/>
        </w:rPr>
        <w:t>【归属】第36章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【用途】申报绿色建造示范工程的项目，从开工起同步留存过程资料（绿色施工方案、四节一环保记录、监测数据、绿色建材台账），避免临评补材料。</w:t>
      </w:r>
    </w:p>
    <w:p>
      <w:pPr>
        <w:keepNext/>
        <w:spacing w:before="80" w:after="40" w:line="288" w:lineRule="auto"/>
        <w:ind w:firstLine="0"/>
        <w:jc w:val="center"/>
      </w:pPr>
      <w:r>
        <w:rPr>
          <w:rFonts w:ascii="Times New Roman" w:hAnsi="Times New Roman" w:eastAsia="黑体"/>
          <w:b/>
          <w:i w:val="0"/>
          <w:color w:val="000000"/>
          <w:sz w:val="21"/>
        </w:rPr>
        <w:t>表36-5　绿色建造示范申报与过程记录</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事项</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完成情况</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责任部门</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资料归档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绿色施工方案</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编制并审批</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□完成</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□已归档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节材措施</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材料节约、周转材料利用</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物资</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□已归档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节水节能</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水电计量、节约记录</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综合办</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□已归档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扬尘噪声监测</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按标准监测达标</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文明施工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□已归档</w:t>
            </w:r>
          </w:p>
        </w:tc>
      </w:tr>
      <w:tr>
        <w:trPr>
          <w:cantSpli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绿色建材应用</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台账齐全</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物资</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□已归档</w:t>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示范申报</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按主管部门要求报送</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技术</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□已归档</w:t>
            </w:r>
          </w:p>
        </w:tc>
      </w:tr>
      <w:tr>
        <w:trPr>
          <w:cantSplit/>
          <w:trHeight w:val="396" w:hRule="atLeast"/>
        </w:trPr>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依据：《建筑工程绿色施工规范》GB/T 50905、《建筑工程绿色施工评价标准》GB/T 50640（以现行有效版本为准）；示范申报条件以项目所在地主管部门通知为准。</w:t>
      </w:r>
    </w:p>
    <w:p>
      <w:pPr>
        <w:pStyle w:val="Heading2"/>
        <w:pageBreakBefore/>
      </w:pPr>
      <w:bookmarkStart w:id="44" w:name="_LarkToc00044"/>
      <w:r>
        <w:t>第37章　海外工程：走出去的合规与风险管理</w:t>
      </w:r>
      <w:bookmarkEnd w:id="44"/>
    </w:p>
    <w:p>
      <w:pPr>
        <w:pStyle w:val="sec_head"/>
      </w:pPr>
      <w:r>
        <w:t>37.1　“自力更生为主、争取外援为辅”：敢走出去，更要稳得住</w:t>
      </w:r>
    </w:p>
    <w:p>
      <w:pPr>
        <w:spacing w:before="0" w:after="0" w:line="360" w:lineRule="auto"/>
        <w:ind w:firstLine="480"/>
        <w:jc w:val="both"/>
      </w:pPr>
      <w:r>
        <w:rPr>
          <w:rFonts w:ascii="Times New Roman" w:hAnsi="Times New Roman" w:eastAsia="宋体"/>
          <w:b w:val="0"/>
          <w:i w:val="0"/>
          <w:color w:val="000000"/>
          <w:sz w:val="24"/>
        </w:rPr>
        <w:t>毛泽东同志讲“自力更生为主，争取外援为辅”，又讲“洋为中用”。企业“走出去”承揽海外工程，是开拓新战场的战略选择，但海外不是国内市场的简单复制——法律体系不同、货币不同、税制不同、政治与安全环境不同、文化习俗不同。国内一套成熟打法，到了异国他乡可能处处碰壁。因此，海外项目必须“不打无准备之仗”：先把国别风险摸清楚，再决定投不投、怎么投、用什么合同模式、怎么管钱、怎么守合规。走出去的目的是赚钱和积累能力，不是去“交学费”。</w:t>
      </w:r>
    </w:p>
    <w:p>
      <w:pPr>
        <w:pStyle w:val="sec_head"/>
      </w:pPr>
      <w:r>
        <w:t>37.2　海外市场选择与六类风险</w:t>
      </w:r>
    </w:p>
    <w:p>
      <w:pPr>
        <w:spacing w:before="0" w:after="0" w:line="360" w:lineRule="auto"/>
        <w:ind w:firstLine="480"/>
        <w:jc w:val="both"/>
      </w:pPr>
      <w:r>
        <w:rPr>
          <w:rFonts w:ascii="Times New Roman" w:hAnsi="Times New Roman" w:eastAsia="宋体"/>
          <w:b w:val="0"/>
          <w:i w:val="0"/>
          <w:color w:val="000000"/>
          <w:sz w:val="24"/>
        </w:rPr>
        <w:t>选择目标国别和项目，至少要系统评估六类风险：</w:t>
      </w:r>
    </w:p>
    <w:p>
      <w:pPr>
        <w:pStyle w:val="ListBullet"/>
        <w:spacing w:before="0" w:after="0" w:line="360" w:lineRule="auto"/>
        <w:ind w:firstLine="0" w:left="420"/>
        <w:jc w:val="both"/>
      </w:pPr>
      <w:r>
        <w:rPr>
          <w:rFonts w:ascii="Times New Roman" w:hAnsi="Times New Roman" w:eastAsia="宋体"/>
          <w:b w:val="0"/>
          <w:i w:val="0"/>
          <w:color w:val="000000"/>
          <w:sz w:val="24"/>
        </w:rPr>
        <w:t>政治与政策风险：政局稳定性、对华关系、征收国有化、政策与汇兑管制。</w:t>
      </w:r>
    </w:p>
    <w:p>
      <w:pPr>
        <w:pStyle w:val="ListBullet"/>
        <w:spacing w:before="0" w:after="0" w:line="360" w:lineRule="auto"/>
        <w:ind w:firstLine="0" w:left="420"/>
        <w:jc w:val="both"/>
      </w:pPr>
      <w:r>
        <w:rPr>
          <w:rFonts w:ascii="Times New Roman" w:hAnsi="Times New Roman" w:eastAsia="宋体"/>
          <w:b w:val="0"/>
          <w:i w:val="0"/>
          <w:color w:val="000000"/>
          <w:sz w:val="24"/>
        </w:rPr>
        <w:t>汇率风险：当地货币稳定性、可兑换性、利润汇出限制、汇率波动。</w:t>
      </w:r>
    </w:p>
    <w:p>
      <w:pPr>
        <w:pStyle w:val="ListBullet"/>
        <w:spacing w:before="0" w:after="0" w:line="360" w:lineRule="auto"/>
        <w:ind w:firstLine="0" w:left="420"/>
        <w:jc w:val="both"/>
      </w:pPr>
      <w:r>
        <w:rPr>
          <w:rFonts w:ascii="Times New Roman" w:hAnsi="Times New Roman" w:eastAsia="宋体"/>
          <w:b w:val="0"/>
          <w:i w:val="0"/>
          <w:color w:val="000000"/>
          <w:sz w:val="24"/>
        </w:rPr>
        <w:t>法律与合同风险：法律体系、争议解决、强制仲裁地、合同执行力。</w:t>
      </w:r>
    </w:p>
    <w:p>
      <w:pPr>
        <w:pStyle w:val="ListBullet"/>
        <w:spacing w:before="0" w:after="0" w:line="360" w:lineRule="auto"/>
        <w:ind w:firstLine="0" w:left="420"/>
        <w:jc w:val="both"/>
      </w:pPr>
      <w:r>
        <w:rPr>
          <w:rFonts w:ascii="Times New Roman" w:hAnsi="Times New Roman" w:eastAsia="宋体"/>
          <w:b w:val="0"/>
          <w:i w:val="0"/>
          <w:color w:val="000000"/>
          <w:sz w:val="24"/>
        </w:rPr>
        <w:t>税务风险：企业所得税、预提税、关税、印花税、双边税收协定、转让定价。</w:t>
      </w:r>
    </w:p>
    <w:p>
      <w:pPr>
        <w:pStyle w:val="ListBullet"/>
        <w:spacing w:before="0" w:after="0" w:line="360" w:lineRule="auto"/>
        <w:ind w:firstLine="0" w:left="420"/>
        <w:jc w:val="both"/>
      </w:pPr>
      <w:r>
        <w:rPr>
          <w:rFonts w:ascii="Times New Roman" w:hAnsi="Times New Roman" w:eastAsia="宋体"/>
          <w:b w:val="0"/>
          <w:i w:val="0"/>
          <w:color w:val="000000"/>
          <w:sz w:val="24"/>
        </w:rPr>
        <w:t>安全与HSE风险：治安、恐袭、疾病、劳工保护、环保标准。</w:t>
      </w:r>
    </w:p>
    <w:p>
      <w:pPr>
        <w:pStyle w:val="ListBullet"/>
        <w:spacing w:before="0" w:after="0" w:line="360" w:lineRule="auto"/>
        <w:ind w:firstLine="0" w:left="420"/>
        <w:jc w:val="both"/>
      </w:pPr>
      <w:r>
        <w:rPr>
          <w:rFonts w:ascii="Times New Roman" w:hAnsi="Times New Roman" w:eastAsia="宋体"/>
          <w:b w:val="0"/>
          <w:i w:val="0"/>
          <w:color w:val="000000"/>
          <w:sz w:val="24"/>
        </w:rPr>
        <w:t>文化与社会风险：宗教习俗、劳工法、工会、属地化用工比例要求。</w:t>
      </w:r>
    </w:p>
    <w:p>
      <w:pPr>
        <w:pStyle w:val="sec_head"/>
      </w:pPr>
      <w:r>
        <w:t>37.3　合同模式：FIDIC红皮书、黄皮书、银皮书怎么选</w:t>
      </w:r>
    </w:p>
    <w:p>
      <w:pPr>
        <w:spacing w:before="0" w:after="0" w:line="360" w:lineRule="auto"/>
        <w:ind w:firstLine="480"/>
        <w:jc w:val="both"/>
      </w:pPr>
      <w:r>
        <w:rPr>
          <w:rFonts w:ascii="Times New Roman" w:hAnsi="Times New Roman" w:eastAsia="宋体"/>
          <w:b w:val="0"/>
          <w:i w:val="0"/>
          <w:color w:val="000000"/>
          <w:sz w:val="24"/>
        </w:rPr>
        <w:t>国际工程广泛采用FIDIC合同条件，常见三种：红皮书（施工合同条件，DBB模式，业主设计，承包商按图施工）、黄皮书（生产设备和设计—建造合同，承包商设计，业主负责设计标准）、银皮书（设计采购施工EPC交钥匙合同，承包商承担绝大部分风险，多为固定总价）。模式越往“银皮书/EPC交钥匙”走，承包商承担的设计、地质、量价风险越大，报价中的风险溢价也要越高。采用何种版本（1999版或2017版）、专用条款如何修改，直接决定风险分配，投标前必须逐条研究。</w:t>
      </w:r>
    </w:p>
    <w:p>
      <w:pPr>
        <w:pStyle w:val="sec_head"/>
      </w:pPr>
      <w:r>
        <w:t>37.4　投标与报价：国别成本、税费、汇率都要算进去</w:t>
      </w:r>
    </w:p>
    <w:p>
      <w:pPr>
        <w:spacing w:before="0" w:after="0" w:line="360" w:lineRule="auto"/>
        <w:ind w:firstLine="480"/>
        <w:jc w:val="both"/>
      </w:pPr>
      <w:r>
        <w:rPr>
          <w:rFonts w:ascii="Times New Roman" w:hAnsi="Times New Roman" w:eastAsia="宋体"/>
          <w:b w:val="0"/>
          <w:i w:val="0"/>
          <w:color w:val="000000"/>
          <w:sz w:val="24"/>
        </w:rPr>
        <w:t>海外报价不能直接套国内定额。要重新算：当地人工与属地化用工成本、当地材料与进口材料关税、海运与清关成本、临时设施与营地、进出口设备税、总部管理费与外派人员成本、各类当地税费，以及汇率波动对收入和成本两端的影响。汇率风险要在报价中考虑一定幅度，并在合同中争取调价或汇率保护条款。各项税率、关税以项目所在国税法和双边税收协定为准，必要时聘请当地税务和法律顾问。</w:t>
      </w:r>
    </w:p>
    <w:p>
      <w:pPr>
        <w:pStyle w:val="sec_head"/>
      </w:pPr>
      <w:r>
        <w:t>37.5　外汇、资金、保函与保险</w:t>
      </w:r>
    </w:p>
    <w:p>
      <w:pPr>
        <w:spacing w:before="0" w:after="0" w:line="360" w:lineRule="auto"/>
        <w:ind w:firstLine="480"/>
        <w:jc w:val="both"/>
      </w:pPr>
      <w:r>
        <w:rPr>
          <w:rFonts w:ascii="Times New Roman" w:hAnsi="Times New Roman" w:eastAsia="宋体"/>
          <w:b w:val="0"/>
          <w:i w:val="0"/>
          <w:color w:val="000000"/>
          <w:sz w:val="24"/>
        </w:rPr>
        <w:t>海外资金管理要解决“钱怎么进来、怎么付出去、利润怎么汇回来”。要合理安排结算货币、通过远期结售汇、自然对冲（当地收入匹配当地支出）等方式管理汇率风险；投标保函、履约保函、预付款保函通常由银行开立，占用企业授信，要登记金额、有效期、反担保和到期注销；海外项目还须投保工程一切险、第三者责任险、人员保险（含外派人员意外和医疗）等，保险范围和免赔额要与项目风险匹配。</w:t>
      </w:r>
    </w:p>
    <w:p>
      <w:pPr>
        <w:pStyle w:val="sec_head"/>
      </w:pPr>
      <w:r>
        <w:t>37.6　合规红线：制裁、反商业贿赂、属地税务、用工</w:t>
      </w:r>
    </w:p>
    <w:p>
      <w:pPr>
        <w:spacing w:before="0" w:after="0" w:line="360" w:lineRule="auto"/>
        <w:ind w:firstLine="480"/>
        <w:jc w:val="both"/>
      </w:pPr>
      <w:r>
        <w:rPr>
          <w:rFonts w:ascii="Times New Roman" w:hAnsi="Times New Roman" w:eastAsia="宋体"/>
          <w:b w:val="0"/>
          <w:i w:val="0"/>
          <w:color w:val="000000"/>
          <w:sz w:val="24"/>
        </w:rPr>
        <w:t>海外合规是高压线，一旦触碰可能导致项目终止、巨额罚款、全球制裁和刑事责任，代价远超工程利润：</w:t>
      </w:r>
    </w:p>
    <w:p>
      <w:pPr>
        <w:pStyle w:val="ListBullet"/>
        <w:spacing w:before="0" w:after="0" w:line="360" w:lineRule="auto"/>
        <w:ind w:firstLine="0" w:left="420"/>
        <w:jc w:val="both"/>
      </w:pPr>
      <w:r>
        <w:rPr>
          <w:rFonts w:ascii="Times New Roman" w:hAnsi="Times New Roman" w:eastAsia="宋体"/>
          <w:b w:val="0"/>
          <w:i w:val="0"/>
          <w:color w:val="000000"/>
          <w:sz w:val="24"/>
        </w:rPr>
        <w:t>制裁合规：核查项目所在国、业主、合作伙伴、银行是否涉及国际制裁名单，避免违规收付汇和交易。</w:t>
      </w:r>
    </w:p>
    <w:p>
      <w:pPr>
        <w:pStyle w:val="ListBullet"/>
        <w:spacing w:before="0" w:after="0" w:line="360" w:lineRule="auto"/>
        <w:ind w:firstLine="0" w:left="420"/>
        <w:jc w:val="both"/>
      </w:pPr>
      <w:r>
        <w:rPr>
          <w:rFonts w:ascii="Times New Roman" w:hAnsi="Times New Roman" w:eastAsia="宋体"/>
          <w:b w:val="0"/>
          <w:i w:val="0"/>
          <w:color w:val="000000"/>
          <w:sz w:val="24"/>
        </w:rPr>
        <w:t>反商业贿赂：严禁向当地官员、业主人员行贿或通过代理变相行贿，佣金支付要有真实服务对价并留痕。</w:t>
      </w:r>
    </w:p>
    <w:p>
      <w:pPr>
        <w:pStyle w:val="ListBullet"/>
        <w:spacing w:before="0" w:after="0" w:line="360" w:lineRule="auto"/>
        <w:ind w:firstLine="0" w:left="420"/>
        <w:jc w:val="both"/>
      </w:pPr>
      <w:r>
        <w:rPr>
          <w:rFonts w:ascii="Times New Roman" w:hAnsi="Times New Roman" w:eastAsia="宋体"/>
          <w:b w:val="0"/>
          <w:i w:val="0"/>
          <w:color w:val="000000"/>
          <w:sz w:val="24"/>
        </w:rPr>
        <w:t>属地税务：依法在当地纳税，避免双重征税（用足双边税收协定），不得通过不当转让定价避税。</w:t>
      </w:r>
    </w:p>
    <w:p>
      <w:pPr>
        <w:pStyle w:val="ListBullet"/>
        <w:spacing w:before="0" w:after="0" w:line="360" w:lineRule="auto"/>
        <w:ind w:firstLine="0" w:left="420"/>
        <w:jc w:val="both"/>
      </w:pPr>
      <w:r>
        <w:rPr>
          <w:rFonts w:ascii="Times New Roman" w:hAnsi="Times New Roman" w:eastAsia="宋体"/>
          <w:b w:val="0"/>
          <w:i w:val="0"/>
          <w:color w:val="000000"/>
          <w:sz w:val="24"/>
        </w:rPr>
        <w:t>属地用工：遵守当地劳动法、工会规则、属地化用工比例和工作许可要求，不得非法雇佣。</w:t>
      </w:r>
    </w:p>
    <w:p>
      <w:pPr>
        <w:spacing w:before="20" w:after="80" w:line="288" w:lineRule="auto"/>
        <w:ind w:firstLine="0"/>
        <w:jc w:val="left"/>
      </w:pPr>
      <w:r>
        <w:rPr>
          <w:rFonts w:ascii="Times New Roman" w:hAnsi="Times New Roman" w:eastAsia="宋体"/>
          <w:b w:val="0"/>
          <w:i w:val="0"/>
          <w:color w:val="404040"/>
          <w:sz w:val="18"/>
        </w:rPr>
        <w:t>依据：《对外承包工程管理条例》（国务院令第527号，以现行版本为准）；制裁、反商业贿赂、税务、用工等同时受我国与项目所在国法律法规约束，重大应聘请专业律师和税务顾问。</w:t>
      </w:r>
    </w:p>
    <w:p>
      <w:pPr>
        <w:pStyle w:val="sec_head"/>
      </w:pPr>
      <w:r>
        <w:t>37.7　属地化与外派人员管理</w:t>
      </w:r>
    </w:p>
    <w:p>
      <w:pPr>
        <w:spacing w:before="0" w:after="0" w:line="360" w:lineRule="auto"/>
        <w:ind w:firstLine="480"/>
        <w:jc w:val="both"/>
      </w:pPr>
      <w:r>
        <w:rPr>
          <w:rFonts w:ascii="Times New Roman" w:hAnsi="Times New Roman" w:eastAsia="宋体"/>
          <w:b w:val="0"/>
          <w:i w:val="0"/>
          <w:color w:val="000000"/>
          <w:sz w:val="24"/>
        </w:rPr>
        <w:t>属地化是降低成本、融入当地、规避用工风险的必由之路：管理人员、技术工人逐步以当地招聘为主，外派人员聚焦关键技术和管理岗位。外派人员要做好行前培训（语言、宗教文化、安全、领事保护）、签证工作许可、体检疫苗、境外保险和轮休安排；建立应急联络和安全撤离预案，尊重当地风俗习惯，不发生敏感言行。</w:t>
      </w:r>
    </w:p>
    <w:p>
      <w:pPr>
        <w:pStyle w:val="sec_head"/>
      </w:pPr>
      <w:r>
        <w:t>37.8　FIDIC索赔：时限是生命线</w:t>
      </w:r>
    </w:p>
    <w:p>
      <w:pPr>
        <w:spacing w:before="0" w:after="0" w:line="360" w:lineRule="auto"/>
        <w:ind w:firstLine="480"/>
        <w:jc w:val="both"/>
      </w:pPr>
      <w:r>
        <w:rPr>
          <w:rFonts w:ascii="Times New Roman" w:hAnsi="Times New Roman" w:eastAsia="宋体"/>
          <w:b w:val="0"/>
          <w:i w:val="0"/>
          <w:color w:val="000000"/>
          <w:sz w:val="24"/>
        </w:rPr>
        <w:t>FIDIC合同对索赔、通知、变更都有严格的时限和程序要求，逾期发出通知可能丧失索赔权利。承包商应在知道或应当知道事件后，按合同约定的时限发出索赔意向通知，并在规定期限内提交完整索赔报告和证据。由于FIDIC有1999版、2017版等不同版本，通知时限、条款号、程序要求各不相同，企业必须以本项目实际采用的合同版本（含专用条款）为准，建立索赔时效台账并设专人跟踪，宁可多提、不可逾期。</w:t>
      </w:r>
    </w:p>
    <w:p>
      <w:pPr>
        <w:spacing w:before="20" w:after="80" w:line="288" w:lineRule="auto"/>
        <w:ind w:firstLine="0"/>
        <w:jc w:val="left"/>
      </w:pPr>
      <w:r>
        <w:rPr>
          <w:rFonts w:ascii="Times New Roman" w:hAnsi="Times New Roman" w:eastAsia="宋体"/>
          <w:b w:val="0"/>
          <w:i w:val="0"/>
          <w:color w:val="404040"/>
          <w:sz w:val="18"/>
        </w:rPr>
        <w:t>注：FIDIC各版（1999/2017）的具体通知时限、条款号与索赔程序不同，一律以本项目所采用合同版本及专用条款为准。</w:t>
      </w:r>
    </w:p>
    <w:p>
      <w:pPr>
        <w:pStyle w:val="attach_div"/>
        <w:pageBreakBefore/>
        <w:jc w:val="center"/>
      </w:pPr>
      <w:r>
        <w:t>第37章　章末附件</w:t>
      </w:r>
    </w:p>
    <w:p>
      <w:pPr>
        <w:spacing w:before="0" w:after="0" w:line="360" w:lineRule="auto"/>
        <w:ind w:firstLine="480"/>
        <w:jc w:val="both"/>
      </w:pPr>
      <w:r>
        <w:rPr>
          <w:rFonts w:ascii="Times New Roman" w:hAnsi="Times New Roman" w:eastAsia="宋体"/>
          <w:b w:val="0"/>
          <w:i w:val="0"/>
          <w:color w:val="000000"/>
          <w:sz w:val="24"/>
        </w:rPr>
        <w:t>本页之后为《海外工程：走出去的合规与风险管理》一章配套的全部可执行工具。附件按“章-序”编号，每件单独成页，含填写说明、示范行与空白模板，可直接复印、打印或录入信息系统使用。具体数值、比例、期限以现行法规、标准、项目所在地主管部门规定及合同专用条款为准。</w:t>
      </w:r>
    </w:p>
    <w:p>
      <w:pPr>
        <w:pStyle w:val="Heading3"/>
        <w:pageBreakBefore/>
        <w:spacing w:before="120"/>
      </w:pPr>
      <w:bookmarkStart w:id="256" w:name="_LarkToc00256"/>
      <w:r>
        <w:t>附件37-1　目标国别市场调查与风险评估表</w:t>
      </w:r>
      <w:bookmarkEnd w:id="256"/>
    </w:p>
    <w:p>
      <w:pPr>
        <w:spacing w:before="0" w:after="40" w:line="312" w:lineRule="auto"/>
        <w:ind w:firstLine="0"/>
        <w:jc w:val="left"/>
      </w:pPr>
      <w:r>
        <w:rPr>
          <w:rFonts w:ascii="Times New Roman" w:hAnsi="Times New Roman" w:eastAsia="宋体"/>
          <w:b w:val="0"/>
          <w:i w:val="0"/>
          <w:color w:val="595959"/>
          <w:sz w:val="18"/>
        </w:rPr>
        <w:t>【归属】第37章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【用途】投标签约前由市场、法务、财务联合开展国别调查，六类风险逐项评级，高风险项无有效应对措施的项目原则上不投。</w:t>
      </w:r>
    </w:p>
    <w:p>
      <w:pPr>
        <w:keepNext/>
        <w:spacing w:before="80" w:after="40" w:line="288" w:lineRule="auto"/>
        <w:ind w:firstLine="0"/>
        <w:jc w:val="center"/>
      </w:pPr>
      <w:r>
        <w:rPr>
          <w:rFonts w:ascii="Times New Roman" w:hAnsi="Times New Roman" w:eastAsia="黑体"/>
          <w:b/>
          <w:i w:val="0"/>
          <w:color w:val="000000"/>
          <w:sz w:val="21"/>
        </w:rPr>
        <w:t>表37-1　目标国别市场与风险评估表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风险类别</w:t>
            </w:r>
          </w:p>
        </w:tc>
        <w:tc>
          <w:tcPr>
            <w:tcW w:type="dxa" w:w="24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调查要点</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信息来源</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风险等级</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应对措施</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政治政策</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政局、对华关系、征收、政策变动</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使馆经商处、公开报告</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汇率</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货币可兑换、汇出限制、汇率走势</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央行、银行、外汇局</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法律合同</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法律体系、争议解决、合同执行</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当地律师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税务</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所得税、预提税、关税、税收协定</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税务顾问</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安全HSE</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治安、疾病、环保劳工标准</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使馆、安保机构</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文化社会</w:t>
            </w:r>
          </w:p>
        </w:tc>
        <w:tc>
          <w:tcPr>
            <w:tcW w:type="dxa" w:w="249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宗教、工会、属地化比例</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当地中资企业</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□高□中□低</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综合结论</w:t>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是否进入、进入方式</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评审会</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□进入□谨慎□放弃</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49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注：国别风险信息应通过我国驻当地使领馆经商机构、专业风险机构和当地律师/顾问核实。</w:t>
      </w:r>
    </w:p>
    <w:p>
      <w:pPr>
        <w:pStyle w:val="Heading3"/>
        <w:pageBreakBefore/>
        <w:spacing w:before="120"/>
      </w:pPr>
      <w:bookmarkStart w:id="257" w:name="_LarkToc00257"/>
      <w:r>
        <w:t>附件37-2　海外项目合同模式与投标决策表</w:t>
      </w:r>
      <w:bookmarkEnd w:id="257"/>
    </w:p>
    <w:p>
      <w:pPr>
        <w:spacing w:before="0" w:after="40" w:line="312" w:lineRule="auto"/>
        <w:ind w:firstLine="0"/>
        <w:jc w:val="left"/>
      </w:pPr>
      <w:r>
        <w:rPr>
          <w:rFonts w:ascii="Times New Roman" w:hAnsi="Times New Roman" w:eastAsia="宋体"/>
          <w:b w:val="0"/>
          <w:i w:val="0"/>
          <w:color w:val="595959"/>
          <w:sz w:val="18"/>
        </w:rPr>
        <w:t>【归属】第37章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【用途】对照FIDIC不同版本和本项目业主要求，判断风险归属，银皮书/EPC交钥匙模式必须把设计、地质、量价风险计入报价。</w:t>
      </w:r>
    </w:p>
    <w:p>
      <w:pPr>
        <w:keepNext/>
        <w:spacing w:before="80" w:after="40" w:line="288" w:lineRule="auto"/>
        <w:ind w:firstLine="0"/>
        <w:jc w:val="center"/>
      </w:pPr>
      <w:r>
        <w:rPr>
          <w:rFonts w:ascii="Times New Roman" w:hAnsi="Times New Roman" w:eastAsia="黑体"/>
          <w:b/>
          <w:i w:val="0"/>
          <w:color w:val="000000"/>
          <w:sz w:val="21"/>
        </w:rPr>
        <w:t>表37-2　海外合同模式与投标决策表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合同模式</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设计责任</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计价方式</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承包商主要风险</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是否本项目采用</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报价应对</w:t>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红皮书（施工）</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业主</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单价</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按图施工、量价相对可控</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黄皮书（设计建造）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承包商</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总价/单价</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设计+施工风险</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（示例）银皮书（EPC交钥匙）</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承包商</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固定总价</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设计、地质、量价全包</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风险溢价充足</w:t>
            </w:r>
          </w:p>
        </w:tc>
      </w:tr>
      <w:tr>
        <w:trPr>
          <w:cantSplit/>
        </w:trPr>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DBB（业主另聘设计）</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业主</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单价</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按图施工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□是□否</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Height w:val="396" w:hRule="atLeast"/>
        </w:trPr>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注：FIDIC版本（1999/2017）及专用条款对风险分配影响极大，以本项目合同文本为准；示例行用后删除。</w:t>
      </w:r>
    </w:p>
    <w:p>
      <w:pPr>
        <w:pStyle w:val="Heading3"/>
        <w:pageBreakBefore/>
        <w:spacing w:before="120"/>
      </w:pPr>
      <w:bookmarkStart w:id="258" w:name="_LarkToc00258"/>
      <w:r>
        <w:t>附件37-3　外汇资金管理与汇率风险对冲表</w:t>
      </w:r>
      <w:bookmarkEnd w:id="258"/>
    </w:p>
    <w:p>
      <w:pPr>
        <w:spacing w:before="0" w:after="40" w:line="312" w:lineRule="auto"/>
        <w:ind w:firstLine="0"/>
        <w:jc w:val="left"/>
      </w:pPr>
      <w:r>
        <w:rPr>
          <w:rFonts w:ascii="Times New Roman" w:hAnsi="Times New Roman" w:eastAsia="宋体"/>
          <w:b w:val="0"/>
          <w:i w:val="0"/>
          <w:color w:val="595959"/>
          <w:sz w:val="18"/>
        </w:rPr>
        <w:t>【归属】第37章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【用途】财务牵头登记结算货币、收支币种匹配和对冲安排，防范汇率波动吞噬利润。金额单位：万元。</w:t>
      </w:r>
    </w:p>
    <w:p>
      <w:pPr>
        <w:keepNext/>
        <w:spacing w:before="80" w:after="40" w:line="288" w:lineRule="auto"/>
        <w:ind w:firstLine="0"/>
        <w:jc w:val="center"/>
      </w:pPr>
      <w:r>
        <w:rPr>
          <w:rFonts w:ascii="Times New Roman" w:hAnsi="Times New Roman" w:eastAsia="黑体"/>
          <w:b/>
          <w:i w:val="0"/>
          <w:color w:val="000000"/>
          <w:sz w:val="21"/>
        </w:rPr>
        <w:t>表37-3　外汇资金与汇率风险管理表</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事项</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本项目情况</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风险/敞口</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对冲措施</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结算/收入币种</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□本币□美元□其他</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成本支出币种</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币种错配敞口</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□有□无</w:t>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自然对冲/远期结售汇</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利润汇出</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□受限□可汇</w:t>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关注汇出限制</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汇率波动敏感度</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报价预留幅度</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不写死波动比例</w:t>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注：汇率对冲工具（远期、期权、自然对冲）以企业外汇管理和银行可办产品为准；金额保留两位小数。</w:t>
      </w:r>
    </w:p>
    <w:p>
      <w:pPr>
        <w:pStyle w:val="Heading3"/>
        <w:pageBreakBefore/>
        <w:spacing w:before="120"/>
      </w:pPr>
      <w:bookmarkStart w:id="259" w:name="_LarkToc00259"/>
      <w:r>
        <w:t>附件37-4　海外合规（制裁/反商业贿赂/税务/用工/HSE）核查表</w:t>
      </w:r>
      <w:bookmarkEnd w:id="259"/>
    </w:p>
    <w:p>
      <w:pPr>
        <w:spacing w:before="0" w:after="40" w:line="312" w:lineRule="auto"/>
        <w:ind w:firstLine="0"/>
        <w:jc w:val="left"/>
      </w:pPr>
      <w:r>
        <w:rPr>
          <w:rFonts w:ascii="Times New Roman" w:hAnsi="Times New Roman" w:eastAsia="宋体"/>
          <w:b w:val="0"/>
          <w:i w:val="0"/>
          <w:color w:val="595959"/>
          <w:sz w:val="18"/>
        </w:rPr>
        <w:t>【归属】第37章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【用途】投标及履约全过程合规自查，任一红线问题未解决不得推进。重大应聘请当地律师、税务师。</w:t>
      </w:r>
    </w:p>
    <w:p>
      <w:pPr>
        <w:keepNext/>
        <w:spacing w:before="80" w:after="40" w:line="288" w:lineRule="auto"/>
        <w:ind w:firstLine="0"/>
        <w:jc w:val="center"/>
      </w:pPr>
      <w:r>
        <w:rPr>
          <w:rFonts w:ascii="Times New Roman" w:hAnsi="Times New Roman" w:eastAsia="黑体"/>
          <w:b/>
          <w:i w:val="0"/>
          <w:color w:val="000000"/>
          <w:sz w:val="21"/>
        </w:rPr>
        <w:t>表37-4　海外合规核查表</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合规领域</w:t>
            </w:r>
          </w:p>
        </w:tc>
        <w:tc>
          <w:tcPr>
            <w:tcW w:type="dxa" w:w="294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核查要点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是否合规</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依据/顾问</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制裁</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国别、业主、伙伴、银行是否涉制裁名单</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反商业贿赂</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无行贿、佣金有真实对价并留痕</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税务</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当地纳税、用足税收协定、无不当避税</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税务顾问</w:t>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用工</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当地劳动法、工作许可、属地化比例</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当地律师</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HSE</w:t>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环保、安全、劳工保护符合当地标准</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进出口</w:t>
            </w:r>
          </w:p>
        </w:tc>
        <w:tc>
          <w:tcPr>
            <w:tcW w:type="dxa" w:w="294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设备材料关税、清关合规</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□是□否</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报关行</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294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依据：《对外承包工程管理条例》（国务院令第527号，以现行版本为准）及我国与项目所在国相关法律；制裁名单、反贿赂要求以最新合规要求为准。</w:t>
      </w:r>
    </w:p>
    <w:p>
      <w:pPr>
        <w:pStyle w:val="Heading3"/>
        <w:pageBreakBefore/>
        <w:spacing w:before="120"/>
      </w:pPr>
      <w:bookmarkStart w:id="260" w:name="_LarkToc00260"/>
      <w:r>
        <w:t>附件37-5　属地化用工与外派人员管理表</w:t>
      </w:r>
      <w:bookmarkEnd w:id="260"/>
    </w:p>
    <w:p>
      <w:pPr>
        <w:spacing w:before="0" w:after="40" w:line="312" w:lineRule="auto"/>
        <w:ind w:firstLine="0"/>
        <w:jc w:val="left"/>
      </w:pPr>
      <w:r>
        <w:rPr>
          <w:rFonts w:ascii="Times New Roman" w:hAnsi="Times New Roman" w:eastAsia="宋体"/>
          <w:b w:val="0"/>
          <w:i w:val="0"/>
          <w:color w:val="595959"/>
          <w:sz w:val="18"/>
        </w:rPr>
        <w:t>【归属】第37章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【用途】控制外派规模、扩大属地招聘，外派人员须完成行前培训、签证许可、保险和应急安排。</w:t>
      </w:r>
    </w:p>
    <w:p>
      <w:pPr>
        <w:keepNext/>
        <w:spacing w:before="80" w:after="40" w:line="288" w:lineRule="auto"/>
        <w:ind w:firstLine="0"/>
        <w:jc w:val="center"/>
      </w:pPr>
      <w:r>
        <w:rPr>
          <w:rFonts w:ascii="Times New Roman" w:hAnsi="Times New Roman" w:eastAsia="黑体"/>
          <w:b/>
          <w:i w:val="0"/>
          <w:color w:val="000000"/>
          <w:sz w:val="21"/>
        </w:rPr>
        <w:t>表37-5　属地化与外派人员管理表</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管理事项</w:t>
            </w:r>
          </w:p>
        </w:tc>
        <w:tc>
          <w:tcPr>
            <w:tcW w:type="dxa" w:w="36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要求</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落实情况</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属地化比例</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当地用工比例符合当地规定</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劳动合同</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按当地法律签订、缴纳社保</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外派签证/许可</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合法工作签证、居留许可</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行前培训</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语言、文化宗教、安全、领事保护</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境外保险</w:t>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意外、医疗、紧急救援</w:t>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w:t>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应急撤离预案</w:t>
            </w:r>
          </w:p>
        </w:tc>
        <w:tc>
          <w:tcPr>
            <w:tcW w:type="dxa" w:w="36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安保、联络、撤离路线</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□落实</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r>
        <w:trPr>
          <w:cantSplit/>
          <w:trHeight w:val="396" w:hRule="atLeas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36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r>
    </w:tbl>
    <w:p>
      <w:pPr>
        <w:spacing w:before="20" w:after="80" w:line="288" w:lineRule="auto"/>
        <w:ind w:firstLine="0"/>
        <w:jc w:val="left"/>
      </w:pPr>
      <w:r>
        <w:rPr>
          <w:rFonts w:ascii="Times New Roman" w:hAnsi="Times New Roman" w:eastAsia="宋体"/>
          <w:b w:val="0"/>
          <w:i w:val="0"/>
          <w:color w:val="404040"/>
          <w:sz w:val="18"/>
        </w:rPr>
        <w:t>注：属地化用工比例、工作许可要求以项目所在国法律为准。</w:t>
      </w:r>
    </w:p>
    <w:p>
      <w:pPr>
        <w:pStyle w:val="Heading3"/>
        <w:pageBreakBefore/>
        <w:spacing w:before="120"/>
      </w:pPr>
      <w:bookmarkStart w:id="261" w:name="_LarkToc00261"/>
      <w:r>
        <w:t>附件37-6　海外保函、保险与索赔（FIDIC时限）管理表</w:t>
      </w:r>
      <w:bookmarkEnd w:id="261"/>
    </w:p>
    <w:p>
      <w:pPr>
        <w:spacing w:before="0" w:after="40" w:line="312" w:lineRule="auto"/>
        <w:ind w:firstLine="0"/>
        <w:jc w:val="left"/>
      </w:pPr>
      <w:r>
        <w:rPr>
          <w:rFonts w:ascii="Times New Roman" w:hAnsi="Times New Roman" w:eastAsia="宋体"/>
          <w:b w:val="0"/>
          <w:i w:val="0"/>
          <w:color w:val="595959"/>
          <w:sz w:val="18"/>
        </w:rPr>
        <w:t>【归属】第37章　章末附件　　　【使用】打印后填写或直接复印使用，空白行可按需加行。</w:t>
      </w:r>
    </w:p>
    <w:p>
      <w:pPr>
        <w:spacing w:before="0" w:after="80" w:line="312" w:lineRule="auto"/>
        <w:ind w:firstLine="0"/>
        <w:jc w:val="left"/>
      </w:pPr>
      <w:r>
        <w:rPr>
          <w:rFonts w:ascii="Times New Roman" w:hAnsi="Times New Roman" w:eastAsia="宋体"/>
          <w:b w:val="0"/>
          <w:i w:val="0"/>
          <w:color w:val="595959"/>
          <w:sz w:val="18"/>
        </w:rPr>
        <w:t>【用途】逐笔登记保函保险到期和索赔时效；FIDIC索赔通知时限以本项目采用合同版本为准，建立时效台账专人跟踪，逾期失权。</w:t>
      </w:r>
    </w:p>
    <w:p>
      <w:pPr>
        <w:keepNext/>
        <w:spacing w:before="80" w:after="40" w:line="288" w:lineRule="auto"/>
        <w:ind w:firstLine="0"/>
        <w:jc w:val="center"/>
      </w:pPr>
      <w:r>
        <w:rPr>
          <w:rFonts w:ascii="Times New Roman" w:hAnsi="Times New Roman" w:eastAsia="黑体"/>
          <w:b/>
          <w:i w:val="0"/>
          <w:color w:val="000000"/>
          <w:sz w:val="21"/>
        </w:rPr>
        <w:t>表37-6　保函、保险与索赔事项台账</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类别</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事项/编号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金额</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有效期/时效</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状态</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到期/注销跟踪</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（示例）履约保函</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PB-01</w:t>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按合同额比例</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至竣工后__天</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□有效</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到期注销</w:t>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投标保函</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□有效□退还</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预付款保函</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□有效□退还</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工程一切险</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保险期</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□有效</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人员/第三方险</w:t>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w:t>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保险期</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□有效</w:t>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FIDIC索赔事项</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t>—</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以合同版本时限</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□未报□已报</w:t>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时效预警</w:t>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Height w:val="396" w:hRule="atLeast"/>
        </w:trPr>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spacing w:before="20" w:after="80" w:line="288" w:lineRule="auto"/>
        <w:ind w:firstLine="0"/>
        <w:jc w:val="left"/>
      </w:pPr>
      <w:r>
        <w:rPr>
          <w:rFonts w:ascii="Times New Roman" w:hAnsi="Times New Roman" w:eastAsia="宋体"/>
          <w:b w:val="0"/>
          <w:i w:val="0"/>
          <w:color w:val="404040"/>
          <w:sz w:val="18"/>
        </w:rPr>
        <w:t>注：FIDIC索赔意向与报告的具体天数、条款号以本项目所采用合同版本（1999/2017）及专用条款为准，本表不写死天数；保函金额比例以合同约定为准。示例行用后删除。</w:t>
      </w:r>
    </w:p>
    <w:p>
      <w:pPr>
        <w:pStyle w:val="Heading1"/>
        <w:pageBreakBefore/>
      </w:pPr>
      <w:bookmarkStart w:id="45" w:name="_LarkToc00045"/>
      <w:r>
        <w:t>附　册</w:t>
      </w:r>
      <w:bookmarkEnd w:id="45"/>
    </w:p>
    <w:p>
      <w:pPr>
        <w:spacing w:before="0" w:after="0" w:line="360" w:lineRule="auto"/>
        <w:ind w:firstLine="480"/>
        <w:jc w:val="both"/>
      </w:pPr>
      <w:r>
        <w:rPr>
          <w:rFonts w:ascii="Times New Roman" w:hAnsi="Times New Roman" w:eastAsia="宋体"/>
          <w:b w:val="0"/>
          <w:i w:val="0"/>
          <w:color w:val="000000"/>
          <w:sz w:val="24"/>
        </w:rPr>
        <w:t>本附册为《以毛选思维破局——建筑施工企业工作指导书》的配套工具汇编，含四部分：附录A为毛选思维与项目全流程的对照总图；附录B为十二张施工版战法卡；附录C为全部附件的复印索引和九张最高频空白表汇编，可直接撕取复印使用；附录D为法规标准引用核查表，供核对引用名称、文号与关键数值。附册中涉及的比例、期限、数值，以现行有效法规、标准、项目所在地主管部门规定及合同专用条款为准。</w:t>
      </w:r>
    </w:p>
    <w:p>
      <w:pPr>
        <w:pStyle w:val="Heading1"/>
        <w:pageBreakBefore/>
      </w:pPr>
      <w:bookmarkStart w:id="46" w:name="_LarkToc00046"/>
      <w:r>
        <w:t>附录A　毛选思维×全流程对照总图</w:t>
      </w:r>
      <w:bookmarkEnd w:id="46"/>
    </w:p>
    <w:p>
      <w:pPr>
        <w:spacing w:before="0" w:after="0" w:line="360" w:lineRule="auto"/>
        <w:ind w:firstLine="480"/>
        <w:jc w:val="both"/>
      </w:pPr>
      <w:r>
        <w:rPr>
          <w:rFonts w:ascii="Times New Roman" w:hAnsi="Times New Roman" w:eastAsia="宋体"/>
          <w:b w:val="0"/>
          <w:i w:val="0"/>
          <w:color w:val="000000"/>
          <w:sz w:val="24"/>
        </w:rPr>
        <w:t>下表把项目从投标到质保的全流程，与各阶段的主要矛盾、毛选方法、对应章节和配套工具一一对应，便于从整体上把握“哪一段用哪一法、配哪件工具”。</w:t>
      </w:r>
    </w:p>
    <w:p>
      <w:pPr>
        <w:keepNext/>
        <w:spacing w:before="80" w:after="40" w:line="288" w:lineRule="auto"/>
        <w:ind w:firstLine="0"/>
        <w:jc w:val="center"/>
      </w:pPr>
      <w:r>
        <w:rPr>
          <w:rFonts w:ascii="Times New Roman" w:hAnsi="Times New Roman" w:eastAsia="黑体"/>
          <w:b/>
          <w:i w:val="0"/>
          <w:color w:val="000000"/>
          <w:sz w:val="21"/>
        </w:rPr>
        <w:t>表A-1　毛选思维×建筑施工项目全流程对照总图</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阶段</w:t>
            </w:r>
          </w:p>
        </w:tc>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主要矛盾</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毛选方法</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对应章节</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核心工具（附件）</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招投标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信息不对称、低价抢标、业主资信不明</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没有调查就没有发言权；不打无准备、无把握之仗</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第4章</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4-1～4-11</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合同签订</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风险条款暗藏、口头承诺无据</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先立规矩后干活，把丑话说在前面</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第5章</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5-1～5-8</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开工准备</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千头万绪、资源与手续不落实</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运筹帷幄，不打无准备之仗</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第6章</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6-1～6-9</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施工（上）</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关键线路失控、事故与质量通病</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抓主要矛盾；保存自己、消灭敌人；样板引路</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第7章</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7-1～7-16</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施工（下）</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跑冒滴漏、现金流断裂、合规踩线</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勤俭办一切事业；精打细算；两条腿走路</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第8章</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8-1～8-15</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收尾验收</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资料缺、验收拖、移交乱</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善始善终、务求出师</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第9章</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9-1～9-6</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竣工结算</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久拖不结、应收高企、时效流失</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集中优势兵力攻坚，穷追不舍</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第10章</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10-1～10-8</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质保回访</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责任边界不清、质保金难退</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为人民负责到底</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第11章</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11-1～11-6</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贯穿全程</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证据缺失、时效过期、资金与合规风险</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调查研究、事事留痕、底线思维</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第12—14章</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12-1、12-2，13-1～13-3，14-1～14-3</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战略与方法</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市场判断、人才梯队、作风廉洁</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持久战与根据地；两个务必；自我革命</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第15—23章</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15-1～23-2</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专项实务</w:t>
            </w:r>
          </w:p>
        </w:tc>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技术、质量、物资、机械、分包、财税、法务、安全、环保九条专业纵深</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各行各业都要精通业务；把专业功课做到极致</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第24—32章</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24-1～32-9</w:t>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新业务</w:t>
            </w:r>
          </w:p>
        </w:tc>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装配式、EPC、数字化、绿色低碳、海外等新战场</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实事求是、先试点后推广；星星之火可以燎原</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第33—37章</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33-1～37-6</w:t>
            </w:r>
          </w:p>
        </w:tc>
      </w:tr>
    </w:tbl>
    <w:p>
      <w:pPr>
        <w:spacing w:before="20" w:after="80" w:line="288" w:lineRule="auto"/>
        <w:ind w:firstLine="0"/>
        <w:jc w:val="left"/>
      </w:pPr>
      <w:r>
        <w:rPr>
          <w:rFonts w:ascii="Times New Roman" w:hAnsi="Times New Roman" w:eastAsia="宋体"/>
          <w:b w:val="0"/>
          <w:i w:val="0"/>
          <w:color w:val="404040"/>
          <w:sz w:val="18"/>
        </w:rPr>
        <w:t>注：三条生命线——安全质量是不可逾越的底线（第7、9、18章），现金流是企业的血液（第8、10、14章），作风廉洁是队伍的本色（第23章），贯穿项目始终。</w:t>
      </w:r>
    </w:p>
    <w:p>
      <w:pPr>
        <w:pStyle w:val="Heading1"/>
        <w:pageBreakBefore/>
      </w:pPr>
      <w:bookmarkStart w:id="47" w:name="_LarkToc00047"/>
      <w:r>
        <w:t>附录B　十二张战法卡（施工版）</w:t>
      </w:r>
      <w:bookmarkEnd w:id="47"/>
    </w:p>
    <w:p>
      <w:pPr>
        <w:spacing w:before="0" w:after="0" w:line="360" w:lineRule="auto"/>
        <w:ind w:firstLine="480"/>
        <w:jc w:val="both"/>
      </w:pPr>
      <w:r>
        <w:rPr>
          <w:rFonts w:ascii="Times New Roman" w:hAnsi="Times New Roman" w:eastAsia="宋体"/>
          <w:b w:val="0"/>
          <w:i w:val="0"/>
          <w:color w:val="000000"/>
          <w:sz w:val="24"/>
        </w:rPr>
        <w:t>十二张战法卡把毛选的思想方法浓缩为可直接照做的动作，每张卡按“出处—要义—场景—动作—工具”五栏排列，可打印为卡片随身携带，也可作为新员工入职、项目开工的学习材料。</w:t>
      </w:r>
    </w:p>
    <w:p>
      <w:pPr>
        <w:pStyle w:val="attach_div"/>
        <w:jc w:val="center"/>
      </w:pPr>
      <w:r>
        <w:t>战法卡一　实事求是</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实事求是</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《改造我们的学习》《实践论》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从客观存在的事实出发，而不是从主观愿望、本本和热情出发；情况不明决心大，是失败之母。</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编施组、定方案、作报价，一切以现场条件、图纸和数据为准，不拍脑袋、不照抄别的项目。</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先踏勘后报价；图纸会审吃透设计；用实测数据算量；偏差用报表说话。</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4-3、6-3、7-1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战法卡二　调查研究</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调查研究</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《反对本本主义》</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没有调查，就没有发言权；结论产生于调查情况的末尾，而不是它的先头。</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投标前摸清业主资信、现场条件、竞争对手；进场前摸清地质、管线、周边环境；决策前先调研。</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按调查表逐项核实；影像留痕；重大决策先调研后上会。</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4-1、4-3、21-1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战法卡三　抓主要矛盾</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抓主要矛盾</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《矛盾论》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任何过程如果有多个矛盾存在，其中必有一种是主要矛盾，它的存在和发展规定或影响着其他矛盾。</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进度抓关键线路，安全抓危大工程，成本抓量价大户，结算抓争议焦点，不平均用力、四面出击。</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计划标注关键线路；风险分级管控；月度分析聚焦偏差最大项。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7-1、7-4、8-2</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战法卡四　集中优势兵力打歼灭战</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集中优势兵力打歼灭战</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十大军事原则（《目前形势和我们的任务》）</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以多胜少，在一定时间、一定方向上集中绝对优势兵力，各个歼灭敌人。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资源向主体封顶、大体积混凝土、抢工节点等关键部位集中，不撒胡椒面；关键问题集中力量一次解决。</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人材机优先保障关键线路；专题问题成立攻坚组；节点大战前总动员。</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6-6、7-1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战法卡五　一般号召与个别指导相结合（样板引路）</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一般号召与个别指导相结合（样板引路）</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《关于领导方法的若干问题》</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从许多个别指导中形成一般意见，又拿这一般意见到个别单位中去考验，然后集中新的经验做成新的指示。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关键工序先做样板、首件验收，三方确认后再大面积铺开；先试点一个区段，成熟后推广全现场。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样板引路、首件验收；样板交底到班组；不合格样板推倒重做。</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7-14</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战法卡六　群众路线（依靠班组）</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群众路线（依靠班组）</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《关于领导方法的若干问题》</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从群众中来，到群众中去；将群众分散的无系统的意见集中起来，又到群众中去作宣传解释，化为群众的意见。</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尊重一线班组经验，班前会听意见，合理化建议采纳奖励；工资按时足额发到人，队伍才稳。</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走班组、进食堂；班前会交底；实名制考勤、总包代发工资。</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8-12、23-1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战法卡七　弹钢琴</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弹钢琴</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《党委会的工作方法》</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党委要抓紧中心工作，又要围绕中心工作而同时开展其他方面的工作，十个指头都动作，有节奏地配合。</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以进度为中心，同时协调安全、质量、成本、合同、收款多条线，不能只抓一头、顾此失彼。</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周月例会统筹各项议题；关键节点多专业穿插；进度例会同步过安全质量成本。</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20-1、7-1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战法卡八　两条腿走路、独立自主</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两条腿走路、独立自主</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论独立自主、自力更生相关论述</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以我为主、争取外援而不依赖外援；两条腿走路，调动各方面积极性。</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专业分包与自有骨干班组结合，关键技术、核心管理不外包；合作借力但不把命脉交给别人。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分包招标择优；自有班组保留关键工序；杜绝转包、违法分包、挂靠。</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8-4、8-15</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战法卡九　持久战与根据地</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持久战与根据地</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《论持久战》</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战略上有持久战的耐心，战术上打好每一个战役；建立巩固的根据地，依托根据地波浪式推进。</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不赌一个项目输赢，深耕区域市场做滚动经营；把每个干过的工地变成信誉根据地。</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行业周期研判；目标市场选择；区域口碑经营。</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15-1、16-1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战法卡十　星星之火，可以燎原（试点推广）</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星星之火，可以燎原（试点推广）</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《星星之火，可以燎原》</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在形势困难时看到小事物的发展前途，先点起一把火，再让它成燎原之势。</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新工艺、新工法、新管理办法先在一个栋号、一个工序试点，见效后总结标准化，再全面推开。</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试点段先行；首件验收；成熟后编作业指导书推广。</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7-14、17-1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战法卡十一　实践论（复盘迭代）</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实践论（复盘迭代）</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《实践论》</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实践、认识、再实践、再认识，这种形式循环往复，而实践和认识之每一循环都进到高一级程度。</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月度复盘、节点复盘、竣工后评价，把经验教训入库，指导下一个项目，PDCA螺旋上升。</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五步复盘法；问题库闭环；经验教训库开工交底必查。</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22-1、22-2</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attach_div"/>
        <w:jc w:val="center"/>
      </w:pPr>
      <w:r>
        <w:t>战法卡十二　自我革命（批评与自我批评）</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要素</w:t>
            </w:r>
          </w:p>
        </w:tc>
        <w:tc>
          <w:tcPr>
            <w:tcW w:type="dxa" w:w="725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战法名</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自我革命（批评与自我批评）</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毛选出处</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党的三大作风（《论联合政府》）、“两个务必”（七届二中全会）</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核心要义</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房子是应该经常打扫的，不打扫就会积满了灰尘；脸是应该经常洗的，不洗也就会灰尘满面。</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施工场景应用</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项目班子定期开展批评与自我批评，揭短亮丑；作风廉洁自查，防止项目干成、干部倒下。</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具体动作</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民主生活会；季度作风廉洁自查；重点岗位轮岗。</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对应附件</w:t>
            </w:r>
          </w:p>
        </w:tc>
        <w:tc>
          <w:tcPr>
            <w:tcW w:type="dxa" w:w="725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23-1</w:t>
            </w:r>
          </w:p>
        </w:tc>
      </w:tr>
    </w:tbl>
    <w:p>
      <w:pPr>
        <w:spacing w:before="20" w:after="80" w:line="288" w:lineRule="auto"/>
        <w:ind w:firstLine="0"/>
        <w:jc w:val="left"/>
      </w:pPr>
      <w:r>
        <w:rPr>
          <w:rFonts w:ascii="Times New Roman" w:hAnsi="Times New Roman" w:eastAsia="宋体"/>
          <w:b w:val="0"/>
          <w:i w:val="0"/>
          <w:color w:val="404040"/>
          <w:sz w:val="18"/>
        </w:rPr>
        <w:t>注：出处仅列著名篇目与命题，具体论述以原文为准；不得直接引用未核实的卷次页码与原话。</w:t>
      </w:r>
    </w:p>
    <w:p>
      <w:pPr>
        <w:pStyle w:val="Heading1"/>
        <w:pageBreakBefore/>
      </w:pPr>
      <w:bookmarkStart w:id="48" w:name="_LarkToc00048"/>
      <w:r>
        <w:t>附录C　空白模板复印索引＋空白表汇编</w:t>
      </w:r>
      <w:bookmarkEnd w:id="48"/>
    </w:p>
    <w:p>
      <w:pPr>
        <w:pStyle w:val="sec_head"/>
      </w:pPr>
      <w:r>
        <w:t>一、空白模板复印索引</w:t>
      </w:r>
    </w:p>
    <w:p>
      <w:pPr>
        <w:spacing w:before="0" w:after="0" w:line="360" w:lineRule="auto"/>
        <w:ind w:firstLine="480"/>
        <w:jc w:val="both"/>
      </w:pPr>
      <w:r>
        <w:rPr>
          <w:rFonts w:ascii="Times New Roman" w:hAnsi="Times New Roman" w:eastAsia="宋体"/>
          <w:b w:val="0"/>
          <w:i w:val="0"/>
          <w:color w:val="000000"/>
          <w:sz w:val="24"/>
        </w:rPr>
        <w:t>下表列出本书第1—37章全部附件，按附件编号排列。需要哪张表，按编号翻到对应章末附件页复印即可；页码栏印出后手工填写，便于项目部建立本项目的附件定位台账。</w:t>
      </w:r>
    </w:p>
    <w:p>
      <w:pPr>
        <w:keepNext/>
        <w:spacing w:before="80" w:after="40" w:line="288" w:lineRule="auto"/>
        <w:ind w:firstLine="0"/>
        <w:jc w:val="center"/>
      </w:pPr>
      <w:r>
        <w:rPr>
          <w:rFonts w:ascii="Times New Roman" w:hAnsi="Times New Roman" w:eastAsia="黑体"/>
          <w:b/>
          <w:i w:val="0"/>
          <w:color w:val="000000"/>
          <w:sz w:val="21"/>
        </w:rPr>
        <w:t>表C-1　全流程附件复印索引</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附件编号</w:t>
            </w:r>
          </w:p>
        </w:tc>
        <w:tc>
          <w:tcPr>
            <w:tcW w:type="dxa" w:w="566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附件名称</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所在章</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页码（印后填写）</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企业（项目部）困局体检与行业出清信号评分表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六步工作法项目应用推演表（空白模板）</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调查信息清单与调研模板（四本账）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决策方案对比与决策矩阵表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全流程×章节×附件总导航表（即查即用地图）</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不同岗位快速上手路径与使用频次表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项目信息与业主资信调查表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招标文件研读与废标、风险条款核查表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现场踏勘记录与影像资料清单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工程量清单复核与偏差对比表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投标成本测算与报价决策表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投标决策评审表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4-7</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投标文件编制与递交核查清单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4-8</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投标保证金与投标费用跟踪台账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4-9</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否决投标（废标）情形自查清单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4-10</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不平衡报价与报价策略风险表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4-11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清标、答疑与澄清回复记录表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施工合同评审意见表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合同风险条款谈判修改对照表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合同交底记录表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合同价格形式与适用条件对照表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合同风险条款逐条核查库</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工程担保与保险一览表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争议解决路径选择表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5-8</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黑白合同与挂靠实际施工风险提示表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开工条件核查表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项目管理目标责任书（指标分解表）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施工组织设计（专项方案）编制审批表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危大工程清单及专项方案编制计划</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项目组织机构与岗位职责表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总进度计划与里程碑节点表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材料及周转材料需用与采购计划表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6-8</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机械设备进退场计划及特种设备登记表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6-9</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开工报建手续及资料清单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进度计划执行与偏差分析表（月/周）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安全生产基本管理台账（责任、目标、会议、检查总览）</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安全风险评价工具包（LS／LEC／MES／JHA 四种方法）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危险源辨识与风险分级管控清单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危大工程专项方案编审与专家论证流程表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安全隐患排查治理台账（五定闭环）</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7-7</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施工现场安全检查表（对照各专项）</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7-8</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安全教育培训与安全技术交底记录表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7-9</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特种设备（起重机械）安拆、检测与使用登记台账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7-10</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应急救援预案、物资与演练记录表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安全生产费用提取与使用台账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质量策划与质量责任分解表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检验批、分项、分部、单位工程验收记录汇总表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样板引路与首件验收记录表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质量通病预防与整改台账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7-16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绿色文明施工（扬尘、噪声、渣土）检查表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项目目标成本与责任成本分解表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月度成本分析表（量价对比与盈亏分析）</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材料限额领料与盘点控制表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分包结算与用工管理表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机械费与周转材料费用控制表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工程变更管理流程与变更估价表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8-7</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现场签证单（标准模板）</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8-8</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工程联系单（工作联系单）收发台账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8-9</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索赔意向通知书与索赔报告模板</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8-10</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变更、签证、索赔事项台账（时效跟踪）</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8-11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资金收支计划与现金流测算表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8-12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农民工工资专户、实名制、代发与保证金台账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8-13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发票与税务管理台账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8-14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计量与进度款申报跟踪台账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8-15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转包、违法分包、挂靠合规自查表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竣工验收条件核查表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竣工资料归档移交清单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验收问题整改闭环表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工程移交（交接）单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竣工现场清理与撤场确认表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9-6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尾项与遗留问题整改销项、移交跟踪表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竣工结算书目录与组成清单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竣工结算送审金额汇总表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结算资料报送与签收记录表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结算审核跟踪与争议事项台账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应收账款账龄分析与清欠表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工程价款优先受偿权与诉讼时效管理表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结算争议、造价鉴定与司法解决流程表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10-8</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结算谈判策略与让步底线审批表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质量保修期与保修范围一览表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第11章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工程回访计划与记录表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保修维修通知单与维修单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第11章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质量保证金返还跟踪表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缺陷责任期与保修费用台账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第11章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11-6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保修责任界定与第三方损失（含业主索赔）处理表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全过程证据清单、效力等级与送达证据表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12-2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电子证据固化与公证指引表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第12章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13-1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项目台账总目录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第13章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13-2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关键时效与期限一览表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第13章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13-3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印章证照、授权委托与介绍信管理台账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第13章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14-1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项目现金流与资金风险预警管控表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14-2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合规红线自查总表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14-3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项目廉洁风险点与防控矩阵表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15-1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行业周期与企业处境研判表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15-2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企业订单与现金流压力测试表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16-1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目标市场与业务选择评估表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16-2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重点业主信用与区域回款环境评估表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17-1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转型方向可行性评估表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17-2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转型试点项目立项与复盘表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18-1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安全质量底线红线与一票否决表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18-2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安全质量责任清单与领导履职记录表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19-1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关键岗位人才盘点表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19-2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培训与梯队建设计划表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19-3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项目班子与项目经理考核表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第19章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项目班子工作统筹与周/月例会表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20-2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项目班子会议体系与决议跟踪表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21-1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调查研究计划表与调研提纲模板</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22-1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月度/节点复盘表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22-2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项目竣工复盘（后评价）表（含经验教训库）</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第22章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22-3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经验教训库与典型问题案例模板表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23-1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作风建设与廉洁从业自查表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第23章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23-2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业务招待、差旅、用车与礼品礼金自查表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第23章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图纸会审与设计交底记录表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技术方案管理总台账（施组/专项/危大/专家论证状态）</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三级技术交底记录表（项目→班组→作业人员）</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技术核定单/设计变更技术联系单（技术口径）</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测量放线复核记录与计量器具台账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施工试验与检验计划、见证取样送检台账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24-7</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四新技术（新技术/新工艺/新材料/新设备）应用申报与评估表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24-8</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技术疑难问题处理联系单台账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项目质量计划与质量责任分解表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检验批/分项/分部/单位工程验收划分表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样板引路实施计划与样板验收记录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实测实量记录表（含常见允许偏差）</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质量通病防治措施清单（钢筋/混凝土/砌体/抹灰/防水/安装，分专业）</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原材料构配件进场验收与见证取样台账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25-7</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质量问题整改通知单与质量事故处理报告表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25-8</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工程创优策划与自评对照表（创优目标、做法、资料、节点）</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25-9</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质量例会与质量检查考核表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供应商准入评审与合格供方名录、年度评价表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材料采购招标/询比价审批表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物资采购合同关键条款核查表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材料/构配件/设备进场验收与报验单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材料仓储台账（收发存与月度盘点，与限额领料衔接）</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周转材料进退场与摊销、损耗计算表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甲供材料/设备需求计划与领用台账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26-8</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不合格材料标识、隔离、退场与追溯表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27-1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机械设备配置计划与进退场台账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27-2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大型机械（塔吊/施工升降机/附着式升降脚手架）产权备案、安拆告知与检测验收表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27-3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特种设备与特种作业人员持证台账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27-4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机械设备日常点检、维保与运行（台班）记录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27-5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租赁机械合同与安全管理协议核查表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27-6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机械安全装置、限位与保险检查确认表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27-7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起重吊装作业审批与安全条件确认表（含“十不吊”）</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28-1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专业/劳务分包商资质审查与准入登记表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28-2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分包合同关键条款与安全生产管理协议核查表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28-3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分包商履约考核评价表（进度/质量/安全/用工/配合）</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28-4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劳务实名制花名册与进退场登记表（与工资专户衔接）</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28-5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分包工程量确认与结算/付款控制表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28-6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分包安全质量技术交底与三级教育记录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第28章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28-7</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班组建设、技能培训与维权信息告知表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第28章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项目成本核算科目设置与费用归集表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建造合同收入确认（履约进度）计算表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项目税费测算表（增值税及附加、企业所得税、印花税等）</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增值税进项发票管理与抵扣台账（深化，强调四流一致）</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跨地区（异地）项目税款预缴与涉税事项报告台账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银行保函、保证金与授信额度管理台账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“两金”（应收账款、存货/合同资产）压降专项表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29-8</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项目财务月度报表与经济活动分析表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第29章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法律纠纷（案件）登记与应对台账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诉讼/仲裁时效与证据准备核查清单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财产保全申请与担保财产清单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黑白合同与合同效力风险自查表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实际施工人、表见代理与印章授权风险防控表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以房抵款/债务重组协议要点与风险审查表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被执行人财产线索调查与执行案件跟踪表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30-8</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破产债权申报与建设工程价款优先权主张表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30-9</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律师函/催告函/法律意见书模板要点（要素清单）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第30章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危大工程专项方案编审与专家论证流程/台账（含超规模判定）</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深基坑工程安全专项检查表（支护/降排水/监测/荷载）</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脚手架与模板支撑体系（含附着升降脚手架）专项检查表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起重机械与起重吊装安全专项检查表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施工现场临时用电与消防安全专项检查表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有限空间、动火、高处作业审批与监护记录表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31-7</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职业健康与劳动防护（粉尘/噪声/高温/中毒）管理表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31-8</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综合应急预案、专项方案、演练记录与应急物资台账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31-9</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安全教育培训（三级教育/班前/特种作业持证）台账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第31章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绿色施工策划与节能节水节材节地指标表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扬尘污染防治“六个百分百”落实检查表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第32章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施工噪声控制与夜间施工许可/公示记录表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施工污水、泥浆与废水排放管理表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第32章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建筑垃圾（工程渣土）产生、外运与处置台账</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32-6</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文明工地（围挡/道路/生活区/CI）创建检查表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第32章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32-7</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环境在线监测与重污染天气应急响应记录表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第32章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33-1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装配式项目策划与可行性评估表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第33章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33-2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装配率指标与构件方案配置表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第33章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33-3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预制构件采购、生产监造与进场验收表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第33章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33-4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预制构件吊装与灌浆套筒连接质量控制表（关键工序旁站）</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第33章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33-5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装配式深化设计与碰撞审查记录</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第33章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33-6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装配式专项施工方案与吊装作业审批表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第33章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34-1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工程总承包/投建营模式与风险分配对照表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34-2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设计管理与限额设计控制表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34-3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工程总承包项目投标与报价决策表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34-4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采购—施工接口与进度协同表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34-5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投建营（含融资）项目财务测算与可行性表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第34章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34-6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工程总承包合同关键条款与风险核查表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第34章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35-1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智慧工地建设需求与功能配置表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35-2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BIM实施策划与应用点清单</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35-3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BIM建模深度（LOD）与协同管理、交付标准表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35-4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数字化项目管理平台模块应用与数据填报表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第35章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35-5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智慧工地/BIM投入产出（成本—效益）评估表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第35章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36-1</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绿色建筑星级目标与评价指标策划表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36-2</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节能与可再生能源应用措施表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36-3</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建筑施工阶段碳排放计算与减排措施表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36-4</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绿色建材采购与进场台账</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第36章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36-5</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绿色建造示范项目申报与过程记录表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第36章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37-1</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目标国别市场调查与风险评估表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37-2</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海外项目合同模式与投标决策表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37-3</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外汇资金管理与汇率风险对冲表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37-4</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海外合规（制裁/反商业贿赂/税务/用工/HSE）核查表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37-5</w:t>
            </w:r>
          </w:p>
        </w:tc>
        <w:tc>
          <w:tcPr>
            <w:tcW w:type="dxa" w:w="56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属地化用工与外派人员管理表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第37章</w:t>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37-6</w:t>
            </w:r>
          </w:p>
        </w:tc>
        <w:tc>
          <w:tcPr>
            <w:tcW w:type="dxa" w:w="56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海外保函、保险与索赔（FIDIC时限）管理表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第37章</w:t>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sec_head"/>
      </w:pPr>
      <w:r>
        <w:t>二、九张高频空白表汇编（可直接撕用）</w:t>
      </w:r>
    </w:p>
    <w:p>
      <w:pPr>
        <w:spacing w:before="0" w:after="0" w:line="360" w:lineRule="auto"/>
        <w:ind w:firstLine="480"/>
        <w:jc w:val="both"/>
      </w:pPr>
      <w:r>
        <w:rPr>
          <w:rFonts w:ascii="Times New Roman" w:hAnsi="Times New Roman" w:eastAsia="宋体"/>
          <w:b w:val="0"/>
          <w:i w:val="0"/>
          <w:color w:val="000000"/>
          <w:sz w:val="24"/>
        </w:rPr>
        <w:t>以下九张表取自正文附件中使用频率最高者，表头、列与正文一致，不带任何示例行，整表留空，复印后即可直接填写。</w:t>
      </w:r>
    </w:p>
    <w:p>
      <w:pPr>
        <w:pStyle w:val="attach_div"/>
        <w:pageBreakBefore/>
        <w:jc w:val="center"/>
      </w:pPr>
      <w:r>
        <w:t>复印表1　现场签证单（同附件8-7）</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236"/>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工程名称/签证编号</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签证事由</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□合同外工程量 □停窝工 □返工 □材料代用 □地质变化 □甲供材延误 □其他：</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签证事项及发生时间</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签证内容（工程量、做法、人工机械台班）</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签证价款/费用计算</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附件清单</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□现场照片 □测量记录 □施工日志 □材料单 □气象 □会议纪要，共　页</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责任归属</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□发包人原因 □设计原因 □不可抗力 □其他：</w:t>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施工单位/项目负责人/日期</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监理工程师/总监/日期</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建设单位代表/盖章日期</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pStyle w:val="attach_div"/>
        <w:pageBreakBefore/>
        <w:jc w:val="center"/>
      </w:pPr>
      <w:r>
        <w:t>复印表2　索赔意向通知书与索赔报告（同附件8-9）</w:t>
      </w:r>
    </w:p>
    <w:p>
      <w:pPr>
        <w:keepNext/>
        <w:spacing w:before="80" w:after="40" w:line="288" w:lineRule="auto"/>
        <w:ind w:firstLine="0"/>
        <w:jc w:val="center"/>
      </w:pPr>
      <w:r>
        <w:rPr>
          <w:rFonts w:ascii="Times New Roman" w:hAnsi="Times New Roman" w:eastAsia="黑体"/>
          <w:b/>
          <w:i w:val="0"/>
          <w:color w:val="000000"/>
          <w:sz w:val="21"/>
        </w:rPr>
        <w:t>复印表2-1　索赔意向通知书</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6236"/>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致（监理人/发包人）</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工程名称</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索赔事件及发生时间</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索赔初步意向</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□追加付款（暂估金额：　　）　□延长工期（暂估：　　天）　□两者兼有</w:t>
            </w:r>
          </w:p>
        </w:tc>
      </w:tr>
      <w:tr>
        <w:trPr>
          <w:cantSplit/>
        </w:trPr>
        <w:tc>
          <w:tcPr>
            <w:tcW w:type="dxa" w:w="238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保留权利声明</w:t>
            </w:r>
          </w:p>
        </w:tc>
        <w:tc>
          <w:tcPr>
            <w:tcW w:type="dxa" w:w="623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我方保留就该事件进一步提交索赔报告及补充证据的权利。</w:t>
            </w:r>
          </w:p>
        </w:tc>
      </w:tr>
      <w:tr>
        <w:trPr>
          <w:cantSplit/>
        </w:trPr>
        <w:tc>
          <w:tcPr>
            <w:tcW w:type="dxa" w:w="238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承包人（盖章）/项目经理/日期</w:t>
            </w:r>
          </w:p>
        </w:tc>
        <w:tc>
          <w:tcPr>
            <w:tcW w:type="dxa" w:w="623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r>
          </w:p>
        </w:tc>
      </w:tr>
    </w:tbl>
    <w:p>
      <w:pPr>
        <w:keepNext/>
        <w:spacing w:before="80" w:after="40" w:line="288" w:lineRule="auto"/>
        <w:ind w:firstLine="0"/>
        <w:jc w:val="center"/>
      </w:pPr>
      <w:r>
        <w:rPr>
          <w:rFonts w:ascii="Times New Roman" w:hAnsi="Times New Roman" w:eastAsia="黑体"/>
          <w:b/>
          <w:i w:val="0"/>
          <w:color w:val="000000"/>
          <w:sz w:val="21"/>
        </w:rPr>
        <w:t>复印表2-2　索赔报告</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组成</w:t>
            </w:r>
          </w:p>
        </w:tc>
        <w:tc>
          <w:tcPr>
            <w:tcW w:type="dxa" w:w="7143"/>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内容要求</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一、事件经过</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时间、地点、起因、过程，引用合同条款</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二、索赔依据</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合同、法律、规范、变更指令、往来函件、会议纪要</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三、工期索赔</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影响关键线路分析、顺延天数及计算</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四、费用索赔</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人工、材料、机械、管理、措施、利息等逐项计算</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五、证据清单</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照片、日志、气象、签证、进度、财务凭证，编号附后</w:t>
            </w:r>
          </w:p>
        </w:tc>
      </w:tr>
      <w:tr>
        <w:trPr>
          <w:cantSplit/>
        </w:trPr>
        <w:tc>
          <w:tcPr>
            <w:tcW w:type="dxa" w:w="147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六、索赔要求</w:t>
            </w:r>
          </w:p>
        </w:tc>
        <w:tc>
          <w:tcPr>
            <w:tcW w:type="dxa" w:w="7143"/>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明确追加付款金额、延长工期天数</w:t>
            </w:r>
          </w:p>
        </w:tc>
      </w:tr>
      <w:tr>
        <w:trPr>
          <w:cantSplit/>
        </w:trPr>
        <w:tc>
          <w:tcPr>
            <w:tcW w:type="dxa" w:w="147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9"/>
              </w:rPr>
              <w:t>七、签署</w:t>
            </w:r>
          </w:p>
        </w:tc>
        <w:tc>
          <w:tcPr>
            <w:tcW w:type="dxa" w:w="7143"/>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9"/>
              </w:rPr>
              <w:t>承包人盖章、项目经理签字、日期</w:t>
            </w:r>
          </w:p>
        </w:tc>
      </w:tr>
    </w:tbl>
    <w:p>
      <w:pPr>
        <w:spacing w:before="20" w:after="80" w:line="288" w:lineRule="auto"/>
        <w:ind w:firstLine="0"/>
        <w:jc w:val="left"/>
      </w:pPr>
      <w:r>
        <w:rPr>
          <w:rFonts w:ascii="Times New Roman" w:hAnsi="Times New Roman" w:eastAsia="宋体"/>
          <w:b w:val="0"/>
          <w:i w:val="0"/>
          <w:color w:val="404040"/>
          <w:sz w:val="18"/>
        </w:rPr>
        <w:t>依据：GF-2017-0201，知道或应知索赔事件后28天内递交意向通知（逾期失权），意向后28天内递交索赔报告。</w:t>
      </w:r>
    </w:p>
    <w:p>
      <w:pPr>
        <w:pStyle w:val="attach_div"/>
        <w:pageBreakBefore/>
        <w:jc w:val="center"/>
      </w:pPr>
      <w:r>
        <w:t>复印表3　安全风险评价JHA工作危害分析记录表（同附件7-3-8）</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作业步骤</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危险源/危害</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可能后果</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风险等级（LS/LEC）</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现有控制措施</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补充措施</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attach_div"/>
        <w:pageBreakBefore/>
        <w:jc w:val="center"/>
      </w:pPr>
      <w:r>
        <w:t>复印表4　安全隐患排查治理台账（同附件7-6）</w:t>
      </w:r>
    </w:p>
    <w:tbl>
      <w:tblPr>
        <w:tblStyle w:val="TableGrid"/>
        <w:tblW w:type="auto" w:w="0"/>
        <w:jc w:val="center"/>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rPr>
          <w:cantSplit/>
          <w:tblHeader w:val="true"/>
        </w:trPr>
        <w:tc>
          <w:tcPr>
            <w:tcW w:type="dxa" w:w="39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检查日期</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部位/隐患描述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隐患级别</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整改措施</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整改人</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整改资金</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整改期限</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复查人</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销号日期</w:t>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39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□一般□重大</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attach_div"/>
        <w:pageBreakBefore/>
        <w:jc w:val="center"/>
      </w:pPr>
      <w:r>
        <w:t>复印表5　材料限额领料与耗用表（同附件8-3）</w:t>
      </w:r>
    </w:p>
    <w:tbl>
      <w:tblPr>
        <w:tblStyle w:val="TableGrid"/>
        <w:tblW w:type="auto" w:w="0"/>
        <w:jc w:val="center"/>
        <w:tblLayout w:type="fixed"/>
        <w:tblLook w:firstColumn="1" w:firstRow="1" w:lastColumn="0" w:lastRow="0" w:noHBand="0" w:noVBand="1" w:val="04A0"/>
      </w:tblPr>
      <w:tblGrid>
        <w:gridCol w:w="1008"/>
        <w:gridCol w:w="1008"/>
        <w:gridCol w:w="1008"/>
        <w:gridCol w:w="1008"/>
        <w:gridCol w:w="1008"/>
        <w:gridCol w:w="1008"/>
        <w:gridCol w:w="1008"/>
        <w:gridCol w:w="1008"/>
        <w:gridCol w:w="1008"/>
      </w:tblGrid>
      <w:tr>
        <w:trPr>
          <w:cantSplit/>
          <w:tblHeader w:val="true"/>
        </w:trPr>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材料名称</w:t>
            </w:r>
          </w:p>
        </w:tc>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规格</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单位</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预算用量</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实际领用量</w:t>
            </w:r>
          </w:p>
        </w:tc>
        <w:tc>
          <w:tcPr>
            <w:tcW w:type="dxa" w:w="68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损耗率</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超耗/节约</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原因</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处理</w:t>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24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7"/>
              </w:rPr>
            </w:r>
          </w:p>
        </w:tc>
        <w:tc>
          <w:tcPr>
            <w:tcW w:type="dxa" w:w="68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attach_div"/>
        <w:pageBreakBefore/>
        <w:jc w:val="center"/>
      </w:pPr>
      <w:r>
        <w:t>复印表6　月度成本分析表（同附件8-2，金额单位：元）</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成本项</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本期收入</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目标成本</w:t>
            </w:r>
          </w:p>
        </w:tc>
        <w:tc>
          <w:tcPr>
            <w:tcW w:type="dxa" w:w="124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实际成本</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本期盈亏</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偏差原因</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纠偏措施</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人工费</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材料费</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机械费</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分包费</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措施费</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管理费</w:t>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t>合计</w:t>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Height w:val="396" w:hRule="atLeas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247"/>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134"/>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bl>
    <w:p>
      <w:pPr>
        <w:pStyle w:val="attach_div"/>
        <w:pageBreakBefore/>
        <w:jc w:val="center"/>
      </w:pPr>
      <w:r>
        <w:t>复印表7　资金收支计划与现金流测算表（同附件8-11，金额单位：元）</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项目</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本月计划</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本月实际</w:t>
            </w:r>
          </w:p>
        </w:tc>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累计</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备注</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一、期初资金余额</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二、资金流入</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工程进度款</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预付款/其他</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三、资金流出</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农民工工资</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优先保障</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材料款</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机械/租赁</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分包款</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安全费用</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专款专用</w:t>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税费</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 xml:space="preserve">　管理费用</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四、期末资金余额</w:t>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r>
          </w:p>
        </w:tc>
      </w:tr>
      <w:tr>
        <w:trPr>
          <w:cantSplit/>
        </w:trPr>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五、资金缺口/盈余</w:t>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361"/>
            <w:shd w:val="clear" w:color="auto" w:fill="F2F2F2"/>
            <w:tcMar>
              <w:top w:w="40" w:type="dxa"/>
              <w:bottom w:w="40" w:type="dxa"/>
              <w:start w:w="108" w:type="dxa"/>
              <w:end w:w="108" w:type="dxa"/>
            </w:tcMar>
            <w:vAlign w:val="center"/>
          </w:tcPr>
          <w:p>
            <w:pPr>
              <w:spacing w:before="0" w:after="0" w:line="276" w:lineRule="auto"/>
              <w:ind w:firstLine="0"/>
              <w:jc w:val="right"/>
            </w:pPr>
            <w:r/>
            <w:r>
              <w:rPr>
                <w:rFonts w:ascii="Times New Roman" w:hAnsi="Times New Roman" w:eastAsia="宋体"/>
                <w:b w:val="0"/>
                <w:i w:val="0"/>
                <w:color w:val="000000"/>
                <w:sz w:val="18"/>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缺口需预警</w:t>
            </w:r>
          </w:p>
        </w:tc>
      </w:tr>
    </w:tbl>
    <w:p>
      <w:pPr>
        <w:pStyle w:val="attach_div"/>
        <w:pageBreakBefore/>
        <w:jc w:val="center"/>
      </w:pPr>
      <w:r>
        <w:t>复印表8　全过程证据清单与归档责任表（同附件12-1）</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79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阶段</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序号</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证据名称</w:t>
            </w:r>
          </w:p>
        </w:tc>
        <w:tc>
          <w:tcPr>
            <w:tcW w:type="dxa" w:w="113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形成时点</w:t>
            </w:r>
          </w:p>
        </w:tc>
        <w:tc>
          <w:tcPr>
            <w:tcW w:type="dxa" w:w="90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责任人</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保存形式（原件/复印件/电子）</w:t>
            </w:r>
          </w:p>
        </w:tc>
        <w:tc>
          <w:tcPr>
            <w:tcW w:type="dxa" w:w="107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归档位置</w:t>
            </w:r>
          </w:p>
        </w:tc>
        <w:tc>
          <w:tcPr>
            <w:tcW w:type="dxa" w:w="51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份数</w:t>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r>
        <w:trPr>
          <w:cantSplit/>
        </w:trPr>
        <w:tc>
          <w:tcPr>
            <w:tcW w:type="dxa" w:w="79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134"/>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90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07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51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r>
    </w:tbl>
    <w:p>
      <w:pPr>
        <w:pStyle w:val="attach_div"/>
        <w:pageBreakBefore/>
        <w:jc w:val="center"/>
      </w:pPr>
      <w:r>
        <w:t>复印表9　合规红线自查表（同附件14-2）</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领域</w:t>
            </w:r>
          </w:p>
        </w:tc>
        <w:tc>
          <w:tcPr>
            <w:tcW w:type="dxa" w:w="238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红线情形（禁止行为）</w:t>
            </w:r>
          </w:p>
        </w:tc>
        <w:tc>
          <w:tcPr>
            <w:tcW w:type="dxa" w:w="158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依据（法规/文号）</w:t>
            </w:r>
          </w:p>
        </w:tc>
        <w:tc>
          <w:tcPr>
            <w:tcW w:type="dxa" w:w="192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自查情况（是/否+说明）</w:t>
            </w:r>
          </w:p>
        </w:tc>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触发后果</w:t>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r>
        <w:trPr>
          <w:cantSplit/>
        </w:trPr>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r>
          </w:p>
        </w:tc>
        <w:tc>
          <w:tcPr>
            <w:tcW w:type="dxa" w:w="238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587"/>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92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r>
          </w:p>
        </w:tc>
      </w:tr>
    </w:tbl>
    <w:p>
      <w:pPr>
        <w:pStyle w:val="Heading1"/>
        <w:pageBreakBefore/>
      </w:pPr>
      <w:bookmarkStart w:id="49" w:name="_LarkToc00049"/>
      <w:r>
        <w:t>附录D　法规标准引用核查表</w:t>
      </w:r>
      <w:bookmarkEnd w:id="49"/>
    </w:p>
    <w:p>
      <w:pPr>
        <w:spacing w:before="0" w:after="0" w:line="360" w:lineRule="auto"/>
        <w:ind w:firstLine="480"/>
        <w:jc w:val="both"/>
      </w:pPr>
      <w:r>
        <w:rPr>
          <w:rFonts w:ascii="Times New Roman" w:hAnsi="Times New Roman" w:eastAsia="宋体"/>
          <w:b w:val="0"/>
          <w:i w:val="0"/>
          <w:color w:val="000000"/>
          <w:sz w:val="24"/>
        </w:rPr>
        <w:t>本附录把全书引用的法律、行政法规、部门规章及关键期限、比例、数值统一汇编，名称、文号与数值均经核实。成文和执行时如遇修订，以现行有效版本、项目所在地主管部门规定及合同专用条款为准。</w:t>
      </w:r>
    </w:p>
    <w:p>
      <w:pPr>
        <w:keepNext/>
        <w:spacing w:before="80" w:after="40" w:line="288" w:lineRule="auto"/>
        <w:ind w:firstLine="0"/>
        <w:jc w:val="center"/>
      </w:pPr>
      <w:r>
        <w:rPr>
          <w:rFonts w:ascii="Times New Roman" w:hAnsi="Times New Roman" w:eastAsia="黑体"/>
          <w:b/>
          <w:i w:val="0"/>
          <w:color w:val="000000"/>
          <w:sz w:val="21"/>
        </w:rPr>
        <w:t>表D-1　主要法律、行政法规、部门规章一览</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70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名称</w:t>
            </w:r>
          </w:p>
        </w:tc>
        <w:tc>
          <w:tcPr>
            <w:tcW w:type="dxa" w:w="147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文号/标准号</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发布机关</w:t>
            </w:r>
          </w:p>
        </w:tc>
        <w:tc>
          <w:tcPr>
            <w:tcW w:type="dxa" w:w="1020"/>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版本/年份</w:t>
            </w:r>
          </w:p>
        </w:tc>
        <w:tc>
          <w:tcPr>
            <w:tcW w:type="dxa" w:w="2608"/>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关键数值/口径</w:t>
            </w:r>
          </w:p>
        </w:tc>
        <w:tc>
          <w:tcPr>
            <w:tcW w:type="dxa" w:w="567"/>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状态</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中华人民共和国安全生产法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主席令第88号</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全国人大常委会</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2021年修正</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第23条：安全费用专款专用、据实列支；全员安全生产责任制</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中华人民共和国建筑法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主席令第29号（修正）</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全国人大常委会</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2019年修正</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第26条禁止借用资质；第28条禁止转包</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中华人民共和国民法典</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主席令第45号</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全国人大</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2020通过，2021-01-01施行</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第795条施工合同内容；第807条工程价款优先受偿权</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中华人民共和国招标投标法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全国人大常委会</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2017年修正</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招标投标基本制度</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招标投标法实施条例</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国务院令第709号</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国务院</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2019年修订</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第26条投标保证金≤估算价2%；第58条履约保证金≤中标合同金额10%；签约后5日内退还投标保证金及利息</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建设工程安全生产管理条例</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国务院令第393号</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国务院</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2003-11-24公布施行</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第22条安全费不得挪用；第26条专项方案/专家论证；第38条意外伤害保险</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建设工程质量管理条例</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国务院令第714号（修订）</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国务院</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2019年修订</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第40条最低保修期限；第78条违法分包/转包/肢解发包定义</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生产安全事故报告和调查处理条例</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国务院令第493号</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国务院</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2007-06-01施行</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第3条事故四级；第9条单位负责人1小时内报告；第11条逐级上报每级≤2小时</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保障农民工工资支付条例</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国务院令第724号</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国务院</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2020-05-01施行</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第26条专户；第27条完工公示30日注销；第31条总包代发；第33条专户资金不得查封；第55条罚则</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危险性较大的分部分项工程安全管理规定</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住建部令第37号（令第47号修订）</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住建部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2018发布，2019修订</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第10—12条专项方案编审签字；超规模专家论证，专家≥5名</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房屋建筑和市政基础设施工程施工分包管理办法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住建部令第47号（修订）</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住建部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2019汇编</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第13条视同转包；第14条违法分包；第15条视同挂靠（五类人员非本单位）</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工程建设领域农民工工资保证金规定</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人社部发〔2021〕65号</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人社部等七部门</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2021-09施行</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按合同额存储，原则上不低于1%、不超过3%；总承包为唯一存储主体；可用银行保函替代</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企业安全生产费用提取和使用管理办法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财资〔2022〕136号</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财政部、应急部</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2022-12施行</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第17条：矿山3.5%；铁路/房屋建筑/城轨3%；水利水电/电力2.5%；冶炼/机电/化工/通信2%；市政/港航/公路1.5%；月末按进度计提</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最高法建设工程施工合同纠纷司法解释（一）</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法释〔2020〕25号</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最高人民法院</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2021-01-01施行</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第17条质保金返还（未约定竣工验收满2年）；第38/40/41条优先受偿（质量合格、不含利息违约金、最长18个月）</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建设工程施工合同（示范文本）</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GF-2017-0201</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住建部、原工商总局</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2017版</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索赔：知道或应知事件后28天内递交意向通知（逾期失权）；意向后28天内递交索赔报告</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现行通用</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房屋建筑和市政基础设施项目工程总承包管理办法</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建市规〔2019〕12号</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住建部、国家发改委</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2019发布、2020-03-01施行</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工程总承包（EPC）发包、承包单位条件、风险分担与合同价格形式的基本规则</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建设项目工程总承包合同（示范文本）</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GF-2020-0216</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住建部、市场监管总局</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2020版</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EPC工程总承包合同示范文本，区别于施工总承包GF-2017-0201</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现行通用</w:t>
            </w:r>
          </w:p>
        </w:tc>
      </w:tr>
      <w:tr>
        <w:trPr>
          <w:cantSplit/>
        </w:trPr>
        <w:tc>
          <w:tcPr>
            <w:tcW w:type="dxa" w:w="170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对外承包工程管理条例</w:t>
            </w:r>
          </w:p>
        </w:tc>
        <w:tc>
          <w:tcPr>
            <w:tcW w:type="dxa" w:w="147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国务院令第527号（如经修订以现行版本为准）</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国务院</w:t>
            </w:r>
          </w:p>
        </w:tc>
        <w:tc>
          <w:tcPr>
            <w:tcW w:type="dxa" w:w="1020"/>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2008年公布</w:t>
            </w:r>
          </w:p>
        </w:tc>
        <w:tc>
          <w:tcPr>
            <w:tcW w:type="dxa" w:w="2608"/>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对外承包工程资格、经营活动、安全与质量、对外协调的基本规范</w:t>
            </w:r>
          </w:p>
        </w:tc>
        <w:tc>
          <w:tcPr>
            <w:tcW w:type="dxa" w:w="567"/>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以现行版本为准</w:t>
            </w:r>
          </w:p>
        </w:tc>
      </w:tr>
      <w:tr>
        <w:trPr>
          <w:cantSplit/>
        </w:trPr>
        <w:tc>
          <w:tcPr>
            <w:tcW w:type="dxa" w:w="170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中华人民共和国民事诉讼法</w:t>
            </w:r>
          </w:p>
        </w:tc>
        <w:tc>
          <w:tcPr>
            <w:tcW w:type="dxa" w:w="147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全国人大常委会</w:t>
            </w:r>
          </w:p>
        </w:tc>
        <w:tc>
          <w:tcPr>
            <w:tcW w:type="dxa" w:w="1020"/>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以现行修正版本为准</w:t>
            </w:r>
          </w:p>
        </w:tc>
        <w:tc>
          <w:tcPr>
            <w:tcW w:type="dxa" w:w="2608"/>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6"/>
              </w:rPr>
              <w:t>诉讼时效、财产保全、管辖、执行等程序规则；时效一般为3年（民法典第188条）</w:t>
            </w:r>
          </w:p>
        </w:tc>
        <w:tc>
          <w:tcPr>
            <w:tcW w:type="dxa" w:w="567"/>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6"/>
              </w:rPr>
              <w:t>现行有效</w:t>
            </w:r>
          </w:p>
        </w:tc>
      </w:tr>
    </w:tbl>
    <w:p>
      <w:pPr>
        <w:keepNext/>
        <w:spacing w:before="80" w:after="40" w:line="288" w:lineRule="auto"/>
        <w:ind w:firstLine="0"/>
        <w:jc w:val="center"/>
      </w:pPr>
      <w:r>
        <w:rPr>
          <w:rFonts w:ascii="Times New Roman" w:hAnsi="Times New Roman" w:eastAsia="黑体"/>
          <w:b/>
          <w:i w:val="0"/>
          <w:color w:val="000000"/>
          <w:sz w:val="21"/>
        </w:rPr>
        <w:t>表D-2　关键期限、比例、数值速查</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36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事项</w:t>
            </w:r>
          </w:p>
        </w:tc>
        <w:tc>
          <w:tcPr>
            <w:tcW w:type="dxa" w:w="5216"/>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标准（数值/口径）</w:t>
            </w:r>
          </w:p>
        </w:tc>
        <w:tc>
          <w:tcPr>
            <w:tcW w:type="dxa" w:w="2041"/>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依据（文号）</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投标保证金</w:t>
            </w:r>
          </w:p>
        </w:tc>
        <w:tc>
          <w:tcPr>
            <w:tcW w:type="dxa" w:w="521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≤招标项目估算价2%；签约后5日内退还投标保证金及银行同期存款利息</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国务院令第709号 第26/57条</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履约保证金</w:t>
            </w:r>
          </w:p>
        </w:tc>
        <w:tc>
          <w:tcPr>
            <w:tcW w:type="dxa" w:w="521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≤中标合同金额10%</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国务院令第709号 第58条</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质量保证金</w:t>
            </w:r>
          </w:p>
        </w:tc>
        <w:tc>
          <w:tcPr>
            <w:tcW w:type="dxa" w:w="521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≤工程价款结算总额3%；缺陷责任期一般1年、最长2年；未约定返还期限的竣工验收满2年返还；发包人原因未验收的，提交验收报告90日后起算</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 第17条等</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最低保修期限</w:t>
            </w:r>
          </w:p>
        </w:tc>
        <w:tc>
          <w:tcPr>
            <w:tcW w:type="dxa" w:w="521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地基基础/主体结构=设计合理使用年限；防水及有防水要求的房间和外墙防渗漏=5年；供热与供冷=2个采暖期、供冷期；电气管线、给排水、设备安装、装修=2年</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国务院令第714号 第40条</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安全费用计提</w:t>
            </w:r>
          </w:p>
        </w:tc>
        <w:tc>
          <w:tcPr>
            <w:tcW w:type="dxa" w:w="521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房屋建筑/铁路/城轨3%；市政/港航/公路1.5%；其余类别见表D-1；月末按工程进度计提</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财资〔2022〕136号 第17条</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农民工工资保证金</w:t>
            </w:r>
          </w:p>
        </w:tc>
        <w:tc>
          <w:tcPr>
            <w:tcW w:type="dxa" w:w="521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按合同额存储，原则上不低于1%、不超过3%；总承包为唯一存储主体；可银行保函替代</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人社部发〔2021〕65号</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事故报告时限</w:t>
            </w:r>
          </w:p>
        </w:tc>
        <w:tc>
          <w:tcPr>
            <w:tcW w:type="dxa" w:w="521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单位负责人接报后1小时内报告；逐级上报每级≤2小时</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国务院令第493号 第9/11条</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事故等级</w:t>
            </w:r>
          </w:p>
        </w:tc>
        <w:tc>
          <w:tcPr>
            <w:tcW w:type="dxa" w:w="521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特别重大：死亡≥30人/重伤≥100人/直接经济损失≥1亿元；重大：10—29人/50—99人/5000万—1亿元；较大：3—9人/10—49人/1000万—5000万元；一般：3人以下/10人以下/1000万元以下</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国务院令第493号 第3条</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施工噪声</w:t>
            </w:r>
          </w:p>
        </w:tc>
        <w:tc>
          <w:tcPr>
            <w:tcW w:type="dxa" w:w="521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场界昼间70dB(A)、夜间55dB(A)，夜间最大声级超限不高于15dB(A)；夜间为22:00至次日6:00；该标准自2026-01-01实施，代替GB 12523-2011</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GB 12523—2025</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扬尘防治</w:t>
            </w:r>
          </w:p>
        </w:tc>
        <w:tc>
          <w:tcPr>
            <w:tcW w:type="dxa" w:w="521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“六个百分之百”：工地周边100%围挡、物料堆放100%覆盖、出入车辆100%冲洗、施工现场地面100%硬化、拆迁工地100%湿法作业、渣土车辆100%密闭运输</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住建系统扬尘防治要求</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索赔时效</w:t>
            </w:r>
          </w:p>
        </w:tc>
        <w:tc>
          <w:tcPr>
            <w:tcW w:type="dxa" w:w="521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知道或应当知道索赔事件后28天内递交索赔意向通知书（逾期失权）；意向后28天内递交索赔报告</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GF-2017-0201</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工程价款优先受偿权</w:t>
            </w:r>
          </w:p>
        </w:tc>
        <w:tc>
          <w:tcPr>
            <w:tcW w:type="dxa" w:w="521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最长18个月，自应付款之日起算；不及于利息、违约金、损害赔偿金</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法释〔2020〕25号 第38/40/41条</w:t>
            </w:r>
          </w:p>
        </w:tc>
      </w:tr>
      <w:tr>
        <w:trPr>
          <w:cantSplit/>
        </w:trPr>
        <w:tc>
          <w:tcPr>
            <w:tcW w:type="dxa" w:w="1361"/>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民事诉讼时效</w:t>
            </w:r>
          </w:p>
        </w:tc>
        <w:tc>
          <w:tcPr>
            <w:tcW w:type="dxa" w:w="5216"/>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向人民法院请求保护民事权利的一般诉讼时效期间为3年，自权利人知道或者应当知道权利受到损害以及义务人之日起计算；法律另有规定的从其规定</w:t>
            </w:r>
          </w:p>
        </w:tc>
        <w:tc>
          <w:tcPr>
            <w:tcW w:type="dxa" w:w="2041"/>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民法典 第188条</w:t>
            </w:r>
          </w:p>
        </w:tc>
      </w:tr>
      <w:tr>
        <w:trPr>
          <w:cantSplit/>
        </w:trPr>
        <w:tc>
          <w:tcPr>
            <w:tcW w:type="dxa" w:w="1361"/>
            <w:shd w:val="clear" w:color="auto" w:fill="F2F2F2"/>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宋体"/>
                <w:b w:val="0"/>
                <w:i w:val="0"/>
                <w:color w:val="000000"/>
                <w:sz w:val="17"/>
              </w:rPr>
              <w:t>风险分级（LS法）</w:t>
            </w:r>
          </w:p>
        </w:tc>
        <w:tc>
          <w:tcPr>
            <w:tcW w:type="dxa" w:w="5216"/>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R=L×S，L、S各1—5分：红20—25、橙15—19、黄9—14、蓝1—8；属地细则取值与阈值可能不同，一套体系内保持一致</w:t>
            </w:r>
          </w:p>
        </w:tc>
        <w:tc>
          <w:tcPr>
            <w:tcW w:type="dxa" w:w="2041"/>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7"/>
              </w:rPr>
              <w:t>DB37/T 2882—2016等地方标准</w:t>
            </w:r>
          </w:p>
        </w:tc>
      </w:tr>
    </w:tbl>
    <w:p>
      <w:pPr>
        <w:keepNext/>
        <w:spacing w:before="80" w:after="40" w:line="288" w:lineRule="auto"/>
        <w:ind w:firstLine="0"/>
        <w:jc w:val="center"/>
      </w:pPr>
      <w:r>
        <w:rPr>
          <w:rFonts w:ascii="Times New Roman" w:hAnsi="Times New Roman" w:eastAsia="黑体"/>
          <w:b/>
          <w:i w:val="0"/>
          <w:color w:val="000000"/>
          <w:sz w:val="21"/>
        </w:rPr>
        <w:t>表D-3　常用技术标准一览</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814"/>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标准号</w:t>
            </w:r>
          </w:p>
        </w:tc>
        <w:tc>
          <w:tcPr>
            <w:tcW w:type="dxa" w:w="3969"/>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名称</w:t>
            </w:r>
          </w:p>
        </w:tc>
        <w:tc>
          <w:tcPr>
            <w:tcW w:type="dxa" w:w="2835"/>
            <w:shd w:val="clear" w:color="auto" w:fill="D9D9D9"/>
            <w:tcMar>
              <w:top w:w="40" w:type="dxa"/>
              <w:bottom w:w="40" w:type="dxa"/>
              <w:start w:w="108" w:type="dxa"/>
              <w:end w:w="108" w:type="dxa"/>
            </w:tcMar>
            <w:vAlign w:val="center"/>
          </w:tcPr>
          <w:p>
            <w:pPr>
              <w:spacing w:before="0" w:after="0" w:line="276" w:lineRule="auto"/>
              <w:ind w:firstLine="0"/>
              <w:jc w:val="center"/>
            </w:pPr>
            <w:r/>
            <w:r>
              <w:rPr>
                <w:rFonts w:ascii="Times New Roman" w:hAnsi="Times New Roman" w:eastAsia="黑体"/>
                <w:b/>
                <w:i w:val="0"/>
                <w:color w:val="000000"/>
                <w:sz w:val="21"/>
              </w:rPr>
              <w:t>用途</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50300-2013</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建筑工程施工质量验收统一标准</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检验批/分项/分部/单位工程验收</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50500-2013</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建设工程工程量清单计价规范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投标计价、结算</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50720-2011</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建设工程施工现场消防安全技术规范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消防</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50905-2014</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建筑工程绿色施工规范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四节一环保</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50640-2010</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建筑工程绿色施工评价标准</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绿色施工评价</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50378-2019</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绿色建筑评价标准</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绿色建筑标识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59-2011</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建筑施工安全检查标准</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安全检查评分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80-2016</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建筑施工高处作业安全技术规范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高处作业</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46-2005</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施工现场临时用电安全技术规范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临时用电</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130-2011</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建筑施工扣件式钢管脚手架安全技术规范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脚手架</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311-2013</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建筑深基坑工程施工安全技术规范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深基坑</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50656-2011</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施工企业安全生产管理规范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安全管理体系</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50202</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地基基础工程施工质量验收标准</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地基/桩基验收（以现行版为准）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50204</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混凝土结构工程施工质量验收规范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钢筋/混凝土/现浇结构验收（以现行版为准）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50205</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钢结构工程施工质量验收标准</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钢结构验收（以现行版为准）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50203</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砌体结构工程施工质量验收规范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砌体工程验收（以现行版为准）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50666</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混凝土结构工程施工规范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混凝土施工过程控制（以现行版为准）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50326</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建设工程项目管理规范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项目管理体系（以现行版为准）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50319</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建设工程监理规范</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监理配合、报验（以现行版为准）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162</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建筑施工模板安全技术规范</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模板支撑体系（以现行版为准）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33</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建筑机械使用安全技术规程</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机械设备安全使用（以现行版为准）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5144</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塔式起重机安全规程</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塔吊安全（以现行版为准）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 10055</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施工升降机安全规程</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施工升降机安全（以现行版为准）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51231</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装配式混凝土建筑技术标准</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装配式建筑（以现行版为准）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JGJ 1</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装配式混凝土结构技术规程</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装配式结构设计施工（以现行版为准）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51129</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装配式建筑评价标准</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装配率评价（以现行版为准）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51212</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建筑信息模型应用统一标准</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BIM应用总则（以现行版为准）</w:t>
            </w:r>
          </w:p>
        </w:tc>
      </w:tr>
      <w:tr>
        <w:trPr>
          <w:cantSplit/>
        </w:trPr>
        <w:tc>
          <w:tcPr>
            <w:tcW w:type="dxa" w:w="1814"/>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GB/T 51235</w:t>
            </w:r>
          </w:p>
        </w:tc>
        <w:tc>
          <w:tcPr>
            <w:tcW w:type="dxa" w:w="3969"/>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建筑信息模型施工应用标准</w:t>
            </w:r>
          </w:p>
        </w:tc>
        <w:tc>
          <w:tcPr>
            <w:tcW w:type="dxa" w:w="2835"/>
            <w:shd w:val="clear" w:color="auto" w:fill="F2F2F2"/>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BIM施工应用（以现行版为准）</w:t>
            </w:r>
          </w:p>
        </w:tc>
      </w:tr>
      <w:tr>
        <w:trPr>
          <w:cantSplit/>
        </w:trPr>
        <w:tc>
          <w:tcPr>
            <w:tcW w:type="dxa" w:w="1814"/>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DB37/T 2882-2016</w:t>
            </w:r>
          </w:p>
        </w:tc>
        <w:tc>
          <w:tcPr>
            <w:tcW w:type="dxa" w:w="3969"/>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安全生产风险分级管控体系通则（地方标准，方法参照）</w:t>
            </w:r>
          </w:p>
        </w:tc>
        <w:tc>
          <w:tcPr>
            <w:tcW w:type="dxa" w:w="2835"/>
            <w:tcMar>
              <w:top w:w="40" w:type="dxa"/>
              <w:bottom w:w="40" w:type="dxa"/>
              <w:start w:w="108" w:type="dxa"/>
              <w:end w:w="108" w:type="dxa"/>
            </w:tcMar>
            <w:vAlign w:val="center"/>
          </w:tcPr>
          <w:p>
            <w:pPr>
              <w:spacing w:before="0" w:after="0" w:line="276" w:lineRule="auto"/>
              <w:ind w:firstLine="0"/>
              <w:jc w:val="left"/>
            </w:pPr>
            <w:r/>
            <w:r>
              <w:rPr>
                <w:rFonts w:ascii="Times New Roman" w:hAnsi="Times New Roman" w:eastAsia="宋体"/>
                <w:b w:val="0"/>
                <w:i w:val="0"/>
                <w:color w:val="000000"/>
                <w:sz w:val="18"/>
              </w:rPr>
              <w:t>双重预防、LS</w:t>
            </w:r>
          </w:p>
        </w:tc>
      </w:tr>
    </w:tbl>
    <w:p>
      <w:pPr>
        <w:spacing w:before="20" w:after="80" w:line="288" w:lineRule="auto"/>
        <w:ind w:firstLine="0"/>
        <w:jc w:val="left"/>
      </w:pPr>
      <w:r>
        <w:rPr>
          <w:rFonts w:ascii="Times New Roman" w:hAnsi="Times New Roman" w:eastAsia="宋体"/>
          <w:b w:val="0"/>
          <w:i w:val="0"/>
          <w:color w:val="404040"/>
          <w:sz w:val="18"/>
        </w:rPr>
        <w:t>注：技术标准均可能被修订或代替，执行时以现行有效版本为准；地方标准仅作风险评价方法参照，项目所在地有规定的从其规定。</w:t>
      </w:r>
    </w:p>
    <w:sectPr w:rsidR="00FC693F" w:rsidRPr="0006063C" w:rsidSect="00034616">
      <w:footerReference w:type="default" r:id="rId9"/>
      <w:pgSz w:w="11906" w:h="16838"/>
      <w:pgMar w:top="1417" w:right="1417" w:bottom="141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宋体"/>
        <w:b w:val="0"/>
        <w:i w:val="0"/>
        <w:color w:val="000000"/>
        <w:sz w:val="21"/>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9b2f9c3b59ef435e563c70abe658c5f39804ce16b1ef46e94695fe763208f058:e1c88b7dd4cd118e2123427f9788a11829fdde2ca97010c5249be0bc6fc90591"/>
  </w:docVars>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Times New Roman" w:hAnsi="Times New Roman" w:eastAsia="宋体"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outlineLvl w:val="0"/>
    </w:pPr>
    <w:rPr>
      <w:rFonts w:ascii="Times New Roman" w:hAnsi="Times New Roman" w:eastAsia="黑体" w:cs="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360" w:lineRule="auto"/>
      <w:outlineLvl w:val="1"/>
    </w:pPr>
    <w:rPr>
      <w:rFonts w:ascii="Times New Roman" w:hAnsi="Times New Roman" w:eastAsia="黑体" w:cs="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360" w:lineRule="auto"/>
      <w:outlineLvl w:val="2"/>
    </w:pPr>
    <w:rPr>
      <w:rFonts w:ascii="Times New Roman" w:hAnsi="Times New Roman" w:eastAsia="黑体"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_head">
    <w:name w:val="sec_head"/>
    <w:basedOn w:val="Normal"/>
    <w:pPr>
      <w:keepNext/>
      <w:spacing w:before="160" w:after="80"/>
    </w:pPr>
    <w:rPr>
      <w:rFonts w:ascii="Times New Roman" w:hAnsi="Times New Roman" w:eastAsia="黑体" w:cs="Times New Roman"/>
      <w:b/>
      <w:color w:val="000000"/>
      <w:sz w:val="24"/>
    </w:rPr>
  </w:style>
  <w:style w:type="paragraph" w:customStyle="1" w:styleId="attach_div">
    <w:name w:val="attach_div"/>
    <w:basedOn w:val="Normal"/>
    <w:pPr>
      <w:keepNext/>
      <w:spacing w:before="120" w:after="200"/>
    </w:pPr>
    <w:rPr>
      <w:rFonts w:ascii="Times New Roman" w:hAnsi="Times New Roman" w:eastAsia="黑体" w:cs="Times New Roman"/>
      <w:b/>
      <w:color w:val="000000"/>
      <w:sz w:val="28"/>
    </w:rPr>
  </w:style>
  <w:style w:type="paragraph" w:styleId="TOC1">
    <w:name w:val="toc 1"/>
    <w:basedOn w:val="Normal"/>
    <w:next w:val="Normal"/>
    <w:semiHidden/>
    <w:unhideWhenUsed/>
    <w:uiPriority w:val="39"/>
    <w:pPr>
      <w:spacing w:line="240" w:lineRule="auto"/>
      <w:ind w:firstLine="0" w:firstLineChars="0" w:hanging="0" w:hangingChars="0"/>
    </w:pPr>
  </w:style>
  <w:style w:type="paragraph" w:styleId="TOC2">
    <w:name w:val="toc 2"/>
    <w:basedOn w:val="Normal"/>
    <w:next w:val="Normal"/>
    <w:semiHidden/>
    <w:unhideWhenUsed/>
    <w:uiPriority w:val="39"/>
    <w:pPr>
      <w:spacing w:line="240" w:lineRule="auto"/>
      <w:ind w:firstLine="0" w:firstLineChars="0" w:hanging="0" w:hangingChars="0" w:left="420" w:leftChars="200"/>
    </w:pPr>
  </w:style>
  <w:style w:type="paragraph" w:styleId="TOC3">
    <w:name w:val="toc 3"/>
    <w:basedOn w:val="Normal"/>
    <w:next w:val="Normal"/>
    <w:semiHidden/>
    <w:unhideWhenUsed/>
    <w:uiPriority w:val="39"/>
    <w:pPr>
      <w:spacing w:line="240" w:lineRule="auto"/>
      <w:ind w:firstLine="0" w:firstLineChars="0" w:hanging="0" w:hangingChars="0" w:left="840" w:leftChars="40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semiHidden/>
    <w:unhideWhenUsed/>
    <w:uiPriority w:val="39"/>
    <w:pPr>
      <w:spacing w:line="240" w:lineRule="auto"/>
      <w:ind w:firstLine="0" w:firstLineChars="0" w:hanging="0" w:hangingChars="0"/>
    </w:pPr>
  </w:style>
  <w:style w:type="paragraph" w:styleId="TOC2">
    <w:name w:val="toc 2"/>
    <w:basedOn w:val="Normal"/>
    <w:next w:val="Normal"/>
    <w:semiHidden/>
    <w:unhideWhenUsed/>
    <w:uiPriority w:val="39"/>
    <w:pPr>
      <w:spacing w:line="240" w:lineRule="auto"/>
      <w:ind w:firstLine="0" w:firstLineChars="0" w:hanging="0" w:hangingChars="0" w:left="420" w:leftChars="200"/>
    </w:pPr>
  </w:style>
  <w:style w:type="paragraph" w:styleId="TOC3">
    <w:name w:val="toc 3"/>
    <w:basedOn w:val="Normal"/>
    <w:next w:val="Normal"/>
    <w:semiHidden/>
    <w:unhideWhenUsed/>
    <w:uiPriority w:val="39"/>
    <w:pPr>
      <w:spacing w:line="240" w:lineRule="auto"/>
      <w:ind w:firstLine="0" w:firstLineChars="0" w:hanging="0" w:hangingChars="0" w:left="840" w:leftChars="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