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07C9E" w:rsidRPr="00104576" w:rsidRDefault="00407C9E">
      <w:pPr>
        <w:spacing w:before="120" w:after="0"/>
        <w:rPr>
          <w:rFonts w:ascii="FangSong" w:eastAsia="FangSong" w:hAnsi="FangSong"/>
          <w:lang w:eastAsia="zh-CN"/>
        </w:rPr>
      </w:pPr>
    </w:p>
    <w:p w:rsidR="00407C9E" w:rsidRPr="00104576" w:rsidRDefault="00407C9E">
      <w:pPr>
        <w:spacing w:before="200" w:after="0"/>
        <w:rPr>
          <w:rFonts w:ascii="FangSong" w:eastAsia="FangSong" w:hAnsi="FangSong"/>
          <w:lang w:eastAsia="zh-CN"/>
        </w:rPr>
      </w:pPr>
    </w:p>
    <w:p w:rsidR="00407C9E" w:rsidRPr="00104576" w:rsidRDefault="00000000">
      <w:pPr>
        <w:spacing w:after="80" w:line="400" w:lineRule="exact"/>
        <w:jc w:val="center"/>
        <w:rPr>
          <w:rFonts w:ascii="FangSong" w:eastAsia="FangSong" w:hAnsi="FangSong"/>
          <w:lang w:eastAsia="zh-CN"/>
        </w:rPr>
      </w:pPr>
      <w:r w:rsidRPr="00104576">
        <w:rPr>
          <w:rFonts w:ascii="FangSong" w:eastAsia="FangSong" w:hAnsi="FangSong" w:hint="eastAsia"/>
          <w:b/>
          <w:color w:val="1F3864"/>
          <w:sz w:val="32"/>
          <w:lang w:eastAsia="zh-CN"/>
        </w:rPr>
        <w:t>新疆嘉润资源控股有限公司</w:t>
      </w:r>
    </w:p>
    <w:p w:rsidR="00407C9E" w:rsidRPr="00104576" w:rsidRDefault="00000000">
      <w:pPr>
        <w:spacing w:before="40" w:after="120" w:line="400" w:lineRule="exact"/>
        <w:jc w:val="center"/>
        <w:rPr>
          <w:rFonts w:ascii="FangSong" w:eastAsia="FangSong" w:hAnsi="FangSong"/>
          <w:lang w:eastAsia="zh-CN"/>
        </w:rPr>
      </w:pPr>
      <w:r w:rsidRPr="00104576">
        <w:rPr>
          <w:rFonts w:ascii="FangSong" w:eastAsia="FangSong" w:hAnsi="FangSong" w:hint="eastAsia"/>
          <w:b/>
          <w:color w:val="2E5496"/>
          <w:sz w:val="28"/>
          <w:lang w:eastAsia="zh-CN"/>
        </w:rPr>
        <w:t>供应链尽责管理申诉处理办法</w:t>
      </w:r>
    </w:p>
    <w:p w:rsidR="00407C9E" w:rsidRPr="00104576" w:rsidRDefault="00407C9E">
      <w:pPr>
        <w:spacing w:before="160" w:after="0"/>
        <w:rPr>
          <w:rFonts w:ascii="FangSong" w:eastAsia="FangSong" w:hAnsi="FangSong"/>
          <w:lang w:eastAsia="zh-CN"/>
        </w:rPr>
      </w:pPr>
    </w:p>
    <w:p w:rsidR="00407C9E" w:rsidRPr="00104576" w:rsidRDefault="00000000">
      <w:pPr>
        <w:spacing w:before="60" w:after="160" w:line="400" w:lineRule="exact"/>
        <w:rPr>
          <w:rFonts w:ascii="FangSong" w:eastAsia="FangSong" w:hAnsi="FangSong"/>
          <w:lang w:eastAsia="zh-CN"/>
        </w:rPr>
      </w:pPr>
      <w:r w:rsidRPr="00104576">
        <w:rPr>
          <w:rFonts w:ascii="FangSong" w:eastAsia="FangSong" w:hAnsi="FangSong" w:hint="eastAsia"/>
          <w:lang w:eastAsia="zh-CN"/>
        </w:rPr>
        <w:t xml:space="preserve">    为了快速有效地处理申诉，新疆嘉润资源控股有限公司根据《供应链尽责管理申诉机制》，特制定本办法。</w:t>
      </w:r>
    </w:p>
    <w:p w:rsidR="00407C9E" w:rsidRPr="00104576" w:rsidRDefault="00000000">
      <w:pPr>
        <w:spacing w:before="160" w:after="80" w:line="400" w:lineRule="exact"/>
        <w:rPr>
          <w:rFonts w:ascii="FangSong" w:eastAsia="FangSong" w:hAnsi="FangSong"/>
          <w:lang w:eastAsia="zh-CN"/>
        </w:rPr>
      </w:pPr>
      <w:r w:rsidRPr="00104576">
        <w:rPr>
          <w:rFonts w:ascii="FangSong" w:eastAsia="FangSong" w:hAnsi="FangSong" w:hint="eastAsia"/>
          <w:b/>
          <w:color w:val="2E5496"/>
          <w:sz w:val="24"/>
          <w:lang w:eastAsia="zh-CN"/>
        </w:rPr>
        <w:t>一、申诉受理范围</w:t>
      </w:r>
    </w:p>
    <w:p w:rsidR="00407C9E" w:rsidRPr="00104576" w:rsidRDefault="00000000">
      <w:pPr>
        <w:spacing w:before="80" w:after="80" w:line="400" w:lineRule="exact"/>
        <w:ind w:left="400" w:hanging="320"/>
        <w:rPr>
          <w:rFonts w:ascii="FangSong" w:eastAsia="FangSong" w:hAnsi="FangSong"/>
          <w:lang w:eastAsia="zh-CN"/>
        </w:rPr>
      </w:pPr>
      <w:r w:rsidRPr="00104576">
        <w:rPr>
          <w:rFonts w:ascii="FangSong" w:eastAsia="FangSong" w:hAnsi="FangSong" w:hint="eastAsia"/>
          <w:lang w:eastAsia="zh-CN"/>
        </w:rPr>
        <w:t>1. 与新疆嘉润资源控股有限公司铝供应链尽责管理相关事项（包括公司厂区内部管控及亿丰实业上游供应链活动）；</w:t>
      </w:r>
    </w:p>
    <w:p w:rsidR="00407C9E" w:rsidRPr="00104576" w:rsidRDefault="00000000">
      <w:pPr>
        <w:spacing w:before="80" w:after="80" w:line="400" w:lineRule="exact"/>
        <w:ind w:left="400" w:hanging="320"/>
        <w:rPr>
          <w:rFonts w:ascii="FangSong" w:eastAsia="FangSong" w:hAnsi="FangSong"/>
          <w:lang w:eastAsia="zh-CN"/>
        </w:rPr>
      </w:pPr>
      <w:r w:rsidRPr="00104576">
        <w:rPr>
          <w:rFonts w:ascii="FangSong" w:eastAsia="FangSong" w:hAnsi="FangSong" w:hint="eastAsia"/>
          <w:lang w:eastAsia="zh-CN"/>
        </w:rPr>
        <w:t>2. 公司商业活动或业务关系对利益相关方已经造成或可能造成了负面影响；</w:t>
      </w:r>
    </w:p>
    <w:p w:rsidR="00407C9E" w:rsidRPr="00104576" w:rsidRDefault="00000000" w:rsidP="00AC088C">
      <w:pPr>
        <w:spacing w:before="80" w:after="80" w:line="400" w:lineRule="exact"/>
        <w:ind w:left="400" w:hanging="320"/>
        <w:rPr>
          <w:rFonts w:ascii="FangSong" w:eastAsia="FangSong" w:hAnsi="FangSong"/>
          <w:lang w:eastAsia="zh-CN"/>
        </w:rPr>
      </w:pPr>
      <w:r w:rsidRPr="00104576">
        <w:rPr>
          <w:rFonts w:ascii="FangSong" w:eastAsia="FangSong" w:hAnsi="FangSong" w:hint="eastAsia"/>
          <w:lang w:eastAsia="zh-CN"/>
        </w:rPr>
        <w:t>3. 公司商业活动或者业务关系违反了《经济合作与发展组织关于来自受冲突影响和高风险区域的矿石的负责任供应链尽职调查指南》（第三版）、《中国矿产供应链尽责管理指南》（第二版）或公司《供应链尽责管理政策》中的要求。</w:t>
      </w:r>
    </w:p>
    <w:p w:rsidR="00407C9E" w:rsidRPr="00104576" w:rsidRDefault="00000000">
      <w:pPr>
        <w:spacing w:before="160" w:after="80" w:line="400" w:lineRule="exact"/>
        <w:rPr>
          <w:rFonts w:ascii="FangSong" w:eastAsia="FangSong" w:hAnsi="FangSong"/>
          <w:lang w:eastAsia="zh-CN"/>
        </w:rPr>
      </w:pPr>
      <w:r w:rsidRPr="00104576">
        <w:rPr>
          <w:rFonts w:ascii="FangSong" w:eastAsia="FangSong" w:hAnsi="FangSong" w:hint="eastAsia"/>
          <w:b/>
          <w:color w:val="2E5496"/>
          <w:sz w:val="24"/>
          <w:lang w:eastAsia="zh-CN"/>
        </w:rPr>
        <w:t>二、申诉处理流程</w:t>
      </w:r>
    </w:p>
    <w:p w:rsidR="00302293" w:rsidRPr="00104576" w:rsidRDefault="00000000" w:rsidP="008711ED">
      <w:pPr>
        <w:spacing w:before="60" w:after="120" w:line="400" w:lineRule="exact"/>
        <w:ind w:firstLine="440"/>
        <w:rPr>
          <w:rFonts w:ascii="FangSong" w:eastAsia="FangSong" w:hAnsi="FangSong"/>
          <w:lang w:eastAsia="zh-CN"/>
        </w:rPr>
      </w:pPr>
      <w:r w:rsidRPr="00104576">
        <w:rPr>
          <w:rFonts w:ascii="FangSong" w:eastAsia="FangSong" w:hAnsi="FangSong" w:hint="eastAsia"/>
          <w:lang w:eastAsia="zh-CN"/>
        </w:rPr>
        <w:t>收到申诉材料后，公司</w:t>
      </w:r>
      <w:r w:rsidR="0033249D">
        <w:rPr>
          <w:rFonts w:ascii="FangSong" w:eastAsia="FangSong" w:hAnsi="FangSong" w:hint="eastAsia"/>
          <w:lang w:eastAsia="zh-CN"/>
        </w:rPr>
        <w:t>矿产</w:t>
      </w:r>
      <w:r w:rsidRPr="00104576">
        <w:rPr>
          <w:rFonts w:ascii="FangSong" w:eastAsia="FangSong" w:hAnsi="FangSong" w:hint="eastAsia"/>
          <w:lang w:eastAsia="zh-CN"/>
        </w:rPr>
        <w:t>供应链尽责管理委员会（以下简称</w:t>
      </w:r>
      <w:r w:rsidR="00C708C4">
        <w:rPr>
          <w:rFonts w:ascii="FangSong" w:eastAsia="FangSong" w:hAnsi="FangSong" w:hint="eastAsia"/>
          <w:lang w:eastAsia="zh-CN"/>
        </w:rPr>
        <w:t>“</w:t>
      </w:r>
      <w:r w:rsidRPr="00104576">
        <w:rPr>
          <w:rFonts w:ascii="FangSong" w:eastAsia="FangSong" w:hAnsi="FangSong" w:hint="eastAsia"/>
          <w:lang w:eastAsia="zh-CN"/>
        </w:rPr>
        <w:t>委员会</w:t>
      </w:r>
      <w:r w:rsidR="00C708C4">
        <w:rPr>
          <w:rFonts w:ascii="FangSong" w:eastAsia="FangSong" w:hAnsi="FangSong" w:hint="eastAsia"/>
          <w:lang w:eastAsia="zh-CN"/>
        </w:rPr>
        <w:t>”</w:t>
      </w:r>
      <w:r w:rsidRPr="00104576">
        <w:rPr>
          <w:rFonts w:ascii="FangSong" w:eastAsia="FangSong" w:hAnsi="FangSong" w:hint="eastAsia"/>
          <w:lang w:eastAsia="zh-CN"/>
        </w:rPr>
        <w:t>）通常按以下步骤采取行动：</w:t>
      </w:r>
    </w:p>
    <w:tbl>
      <w:tblPr>
        <w:tblStyle w:val="TableGrid"/>
        <w:tblW w:w="9072" w:type="dxa"/>
        <w:tblLook w:val="04A0" w:firstRow="1" w:lastRow="0" w:firstColumn="1" w:lastColumn="0" w:noHBand="0" w:noVBand="1"/>
      </w:tblPr>
      <w:tblGrid>
        <w:gridCol w:w="1587"/>
        <w:gridCol w:w="7485"/>
      </w:tblGrid>
      <w:tr w:rsidR="00407C9E" w:rsidRPr="00104576">
        <w:tc>
          <w:tcPr>
            <w:tcW w:w="1587" w:type="dxa"/>
            <w:tcBorders>
              <w:top w:val="single" w:sz="4" w:space="0" w:color="AAAAAA"/>
              <w:left w:val="single" w:sz="4" w:space="0" w:color="AAAAAA"/>
              <w:bottom w:val="single" w:sz="4" w:space="0" w:color="AAAAAA"/>
              <w:right w:val="single" w:sz="4" w:space="0" w:color="AAAAAA"/>
            </w:tcBorders>
            <w:shd w:val="clear" w:color="auto" w:fill="2E5496"/>
          </w:tcPr>
          <w:p w:rsidR="00407C9E" w:rsidRPr="00104576" w:rsidRDefault="00000000">
            <w:pPr>
              <w:spacing w:before="60" w:after="60" w:line="300" w:lineRule="exact"/>
              <w:jc w:val="center"/>
              <w:rPr>
                <w:rFonts w:ascii="FangSong" w:eastAsia="FangSong" w:hAnsi="FangSong"/>
                <w:lang w:eastAsia="zh-CN"/>
              </w:rPr>
            </w:pPr>
            <w:r w:rsidRPr="00104576">
              <w:rPr>
                <w:rFonts w:ascii="FangSong" w:eastAsia="FangSong" w:hAnsi="FangSong" w:hint="eastAsia"/>
                <w:b/>
                <w:color w:val="FFFFFF"/>
                <w:sz w:val="20"/>
                <w:lang w:eastAsia="zh-CN"/>
              </w:rPr>
              <w:t>步骤</w:t>
            </w:r>
          </w:p>
        </w:tc>
        <w:tc>
          <w:tcPr>
            <w:tcW w:w="7483" w:type="dxa"/>
            <w:tcBorders>
              <w:top w:val="single" w:sz="4" w:space="0" w:color="AAAAAA"/>
              <w:left w:val="single" w:sz="4" w:space="0" w:color="AAAAAA"/>
              <w:bottom w:val="single" w:sz="4" w:space="0" w:color="AAAAAA"/>
              <w:right w:val="single" w:sz="4" w:space="0" w:color="AAAAAA"/>
            </w:tcBorders>
            <w:shd w:val="clear" w:color="auto" w:fill="2E5496"/>
          </w:tcPr>
          <w:p w:rsidR="00407C9E" w:rsidRPr="00104576" w:rsidRDefault="00000000">
            <w:pPr>
              <w:spacing w:before="60" w:after="60" w:line="300" w:lineRule="exact"/>
              <w:jc w:val="center"/>
              <w:rPr>
                <w:rFonts w:ascii="FangSong" w:eastAsia="FangSong" w:hAnsi="FangSong"/>
                <w:lang w:eastAsia="zh-CN"/>
              </w:rPr>
            </w:pPr>
            <w:r w:rsidRPr="00104576">
              <w:rPr>
                <w:rFonts w:ascii="FangSong" w:eastAsia="FangSong" w:hAnsi="FangSong" w:hint="eastAsia"/>
                <w:b/>
                <w:color w:val="FFFFFF"/>
                <w:sz w:val="20"/>
                <w:lang w:eastAsia="zh-CN"/>
              </w:rPr>
              <w:t>处理内容</w:t>
            </w:r>
          </w:p>
        </w:tc>
      </w:tr>
      <w:tr w:rsidR="00407C9E" w:rsidRPr="00104576">
        <w:tc>
          <w:tcPr>
            <w:tcW w:w="1587" w:type="dxa"/>
            <w:tcBorders>
              <w:top w:val="single" w:sz="4" w:space="0" w:color="AAAAAA"/>
              <w:left w:val="single" w:sz="4" w:space="0" w:color="AAAAAA"/>
              <w:bottom w:val="single" w:sz="4" w:space="0" w:color="AAAAAA"/>
              <w:right w:val="single" w:sz="4" w:space="0" w:color="AAAAAA"/>
            </w:tcBorders>
          </w:tcPr>
          <w:p w:rsidR="00407C9E" w:rsidRPr="00104576" w:rsidRDefault="00000000">
            <w:pPr>
              <w:spacing w:before="60" w:after="60" w:line="300" w:lineRule="exact"/>
              <w:jc w:val="center"/>
              <w:rPr>
                <w:rFonts w:ascii="FangSong" w:eastAsia="FangSong" w:hAnsi="FangSong"/>
                <w:lang w:eastAsia="zh-CN"/>
              </w:rPr>
            </w:pPr>
            <w:r w:rsidRPr="00104576">
              <w:rPr>
                <w:rFonts w:ascii="FangSong" w:eastAsia="FangSong" w:hAnsi="FangSong" w:hint="eastAsia"/>
                <w:b/>
                <w:color w:val="2E5496"/>
                <w:sz w:val="20"/>
                <w:lang w:eastAsia="zh-CN"/>
              </w:rPr>
              <w:t>第一步</w:t>
            </w:r>
            <w:r w:rsidRPr="00104576">
              <w:rPr>
                <w:rFonts w:ascii="FangSong" w:eastAsia="FangSong" w:hAnsi="FangSong" w:hint="eastAsia"/>
                <w:b/>
                <w:color w:val="2E5496"/>
                <w:sz w:val="20"/>
                <w:lang w:eastAsia="zh-CN"/>
              </w:rPr>
              <w:br/>
              <w:t>确认收到</w:t>
            </w:r>
          </w:p>
        </w:tc>
        <w:tc>
          <w:tcPr>
            <w:tcW w:w="7483" w:type="dxa"/>
            <w:tcBorders>
              <w:top w:val="single" w:sz="4" w:space="0" w:color="AAAAAA"/>
              <w:left w:val="single" w:sz="4" w:space="0" w:color="AAAAAA"/>
              <w:bottom w:val="single" w:sz="4" w:space="0" w:color="AAAAAA"/>
              <w:right w:val="single" w:sz="4" w:space="0" w:color="AAAAAA"/>
            </w:tcBorders>
          </w:tcPr>
          <w:p w:rsidR="00407C9E" w:rsidRPr="00104576" w:rsidRDefault="00000000">
            <w:pPr>
              <w:spacing w:before="60" w:after="60" w:line="300" w:lineRule="exact"/>
              <w:rPr>
                <w:rFonts w:ascii="FangSong" w:eastAsia="FangSong" w:hAnsi="FangSong"/>
                <w:lang w:eastAsia="zh-CN"/>
              </w:rPr>
            </w:pPr>
            <w:r w:rsidRPr="00104576">
              <w:rPr>
                <w:rFonts w:ascii="FangSong" w:eastAsia="FangSong" w:hAnsi="FangSong" w:hint="eastAsia"/>
                <w:sz w:val="20"/>
                <w:lang w:eastAsia="zh-CN"/>
              </w:rPr>
              <w:t>供应链尽责管理联合办公室（以下简称</w:t>
            </w:r>
            <w:r w:rsidR="00C708C4">
              <w:rPr>
                <w:rFonts w:ascii="FangSong" w:eastAsia="FangSong" w:hAnsi="FangSong" w:hint="eastAsia"/>
                <w:sz w:val="20"/>
                <w:lang w:eastAsia="zh-CN"/>
              </w:rPr>
              <w:t>“</w:t>
            </w:r>
            <w:r w:rsidRPr="00104576">
              <w:rPr>
                <w:rFonts w:ascii="FangSong" w:eastAsia="FangSong" w:hAnsi="FangSong" w:hint="eastAsia"/>
                <w:sz w:val="20"/>
                <w:lang w:eastAsia="zh-CN"/>
              </w:rPr>
              <w:t>联合办公室</w:t>
            </w:r>
            <w:r w:rsidR="00C708C4">
              <w:rPr>
                <w:rFonts w:ascii="FangSong" w:eastAsia="FangSong" w:hAnsi="FangSong" w:hint="eastAsia"/>
                <w:sz w:val="20"/>
                <w:lang w:eastAsia="zh-CN"/>
              </w:rPr>
              <w:t>”</w:t>
            </w:r>
            <w:r w:rsidRPr="00104576">
              <w:rPr>
                <w:rFonts w:ascii="FangSong" w:eastAsia="FangSong" w:hAnsi="FangSong" w:hint="eastAsia"/>
                <w:sz w:val="20"/>
                <w:lang w:eastAsia="zh-CN"/>
              </w:rPr>
              <w:t>）向申诉者确认收到申诉材料（实时）。</w:t>
            </w:r>
            <w:r w:rsidRPr="00104576">
              <w:rPr>
                <w:rFonts w:ascii="FangSong" w:eastAsia="FangSong" w:hAnsi="FangSong" w:hint="eastAsia"/>
                <w:sz w:val="20"/>
                <w:lang w:eastAsia="zh-CN"/>
              </w:rPr>
              <w:br/>
              <w:t>如申诉涉及亿丰实业上游供应链事项，联合办公室同步书面通知亿丰实业，告知其申诉内容及配合调查的要求。</w:t>
            </w:r>
          </w:p>
        </w:tc>
      </w:tr>
      <w:tr w:rsidR="00407C9E" w:rsidRPr="00104576">
        <w:tc>
          <w:tcPr>
            <w:tcW w:w="1587" w:type="dxa"/>
            <w:tcBorders>
              <w:top w:val="single" w:sz="4" w:space="0" w:color="AAAAAA"/>
              <w:left w:val="single" w:sz="4" w:space="0" w:color="AAAAAA"/>
              <w:bottom w:val="single" w:sz="4" w:space="0" w:color="AAAAAA"/>
              <w:right w:val="single" w:sz="4" w:space="0" w:color="AAAAAA"/>
            </w:tcBorders>
            <w:shd w:val="clear" w:color="auto" w:fill="EEF4FB"/>
          </w:tcPr>
          <w:p w:rsidR="00407C9E" w:rsidRPr="00104576" w:rsidRDefault="00000000">
            <w:pPr>
              <w:spacing w:before="60" w:after="60" w:line="300" w:lineRule="exact"/>
              <w:jc w:val="center"/>
              <w:rPr>
                <w:rFonts w:ascii="FangSong" w:eastAsia="FangSong" w:hAnsi="FangSong"/>
                <w:lang w:eastAsia="zh-CN"/>
              </w:rPr>
            </w:pPr>
            <w:r w:rsidRPr="00104576">
              <w:rPr>
                <w:rFonts w:ascii="FangSong" w:eastAsia="FangSong" w:hAnsi="FangSong" w:hint="eastAsia"/>
                <w:b/>
                <w:color w:val="2E5496"/>
                <w:sz w:val="20"/>
                <w:lang w:eastAsia="zh-CN"/>
              </w:rPr>
              <w:t>第二步</w:t>
            </w:r>
            <w:r w:rsidRPr="00104576">
              <w:rPr>
                <w:rFonts w:ascii="FangSong" w:eastAsia="FangSong" w:hAnsi="FangSong" w:hint="eastAsia"/>
                <w:b/>
                <w:color w:val="2E5496"/>
                <w:sz w:val="20"/>
                <w:lang w:eastAsia="zh-CN"/>
              </w:rPr>
              <w:br/>
              <w:t>审查受理</w:t>
            </w:r>
          </w:p>
        </w:tc>
        <w:tc>
          <w:tcPr>
            <w:tcW w:w="7483" w:type="dxa"/>
            <w:tcBorders>
              <w:top w:val="single" w:sz="4" w:space="0" w:color="AAAAAA"/>
              <w:left w:val="single" w:sz="4" w:space="0" w:color="AAAAAA"/>
              <w:bottom w:val="single" w:sz="4" w:space="0" w:color="AAAAAA"/>
              <w:right w:val="single" w:sz="4" w:space="0" w:color="AAAAAA"/>
            </w:tcBorders>
            <w:shd w:val="clear" w:color="auto" w:fill="EEF4FB"/>
          </w:tcPr>
          <w:p w:rsidR="00407C9E" w:rsidRPr="00104576" w:rsidRDefault="00000000">
            <w:pPr>
              <w:spacing w:before="60" w:after="60" w:line="300" w:lineRule="exact"/>
              <w:rPr>
                <w:rFonts w:ascii="FangSong" w:eastAsia="FangSong" w:hAnsi="FangSong"/>
                <w:lang w:eastAsia="zh-CN"/>
              </w:rPr>
            </w:pPr>
            <w:r w:rsidRPr="00104576">
              <w:rPr>
                <w:rFonts w:ascii="FangSong" w:eastAsia="FangSong" w:hAnsi="FangSong" w:hint="eastAsia"/>
                <w:sz w:val="20"/>
                <w:lang w:eastAsia="zh-CN"/>
              </w:rPr>
              <w:t>联合办公室按照第一条申诉受理条件审查材料，决定是否受理。联合办公室将是否受理的决定以书面形式（包括电子邮件或纸质文书）通知申诉者。如果申诉者提供的信息不足以开展调查，联合办公室将建议其在30天内提供更多信息，否则无法受理。如果决定不予受理，同时说明不予受理原因，并将处理结果报送委员会（收到材料后7个工作日内）。</w:t>
            </w:r>
          </w:p>
        </w:tc>
      </w:tr>
      <w:tr w:rsidR="00407C9E" w:rsidRPr="00104576">
        <w:tc>
          <w:tcPr>
            <w:tcW w:w="1587" w:type="dxa"/>
            <w:tcBorders>
              <w:top w:val="single" w:sz="4" w:space="0" w:color="AAAAAA"/>
              <w:left w:val="single" w:sz="4" w:space="0" w:color="AAAAAA"/>
              <w:bottom w:val="single" w:sz="4" w:space="0" w:color="AAAAAA"/>
              <w:right w:val="single" w:sz="4" w:space="0" w:color="AAAAAA"/>
            </w:tcBorders>
          </w:tcPr>
          <w:p w:rsidR="00407C9E" w:rsidRPr="00104576" w:rsidRDefault="00000000">
            <w:pPr>
              <w:spacing w:before="60" w:after="60" w:line="300" w:lineRule="exact"/>
              <w:jc w:val="center"/>
              <w:rPr>
                <w:rFonts w:ascii="FangSong" w:eastAsia="FangSong" w:hAnsi="FangSong"/>
                <w:lang w:eastAsia="zh-CN"/>
              </w:rPr>
            </w:pPr>
            <w:r w:rsidRPr="00104576">
              <w:rPr>
                <w:rFonts w:ascii="FangSong" w:eastAsia="FangSong" w:hAnsi="FangSong" w:hint="eastAsia"/>
                <w:b/>
                <w:color w:val="2E5496"/>
                <w:sz w:val="20"/>
                <w:lang w:eastAsia="zh-CN"/>
              </w:rPr>
              <w:t>第三步</w:t>
            </w:r>
            <w:r w:rsidRPr="00104576">
              <w:rPr>
                <w:rFonts w:ascii="FangSong" w:eastAsia="FangSong" w:hAnsi="FangSong" w:hint="eastAsia"/>
                <w:b/>
                <w:color w:val="2E5496"/>
                <w:sz w:val="20"/>
                <w:lang w:eastAsia="zh-CN"/>
              </w:rPr>
              <w:br/>
              <w:t>启动调查</w:t>
            </w:r>
          </w:p>
        </w:tc>
        <w:tc>
          <w:tcPr>
            <w:tcW w:w="7483" w:type="dxa"/>
            <w:tcBorders>
              <w:top w:val="single" w:sz="4" w:space="0" w:color="AAAAAA"/>
              <w:left w:val="single" w:sz="4" w:space="0" w:color="AAAAAA"/>
              <w:bottom w:val="single" w:sz="4" w:space="0" w:color="AAAAAA"/>
              <w:right w:val="single" w:sz="4" w:space="0" w:color="AAAAAA"/>
            </w:tcBorders>
          </w:tcPr>
          <w:p w:rsidR="00407C9E" w:rsidRPr="00104576" w:rsidRDefault="00000000">
            <w:pPr>
              <w:spacing w:before="60" w:after="60" w:line="300" w:lineRule="exact"/>
              <w:rPr>
                <w:rFonts w:ascii="FangSong" w:eastAsia="FangSong" w:hAnsi="FangSong"/>
                <w:lang w:eastAsia="zh-CN"/>
              </w:rPr>
            </w:pPr>
            <w:r w:rsidRPr="00104576">
              <w:rPr>
                <w:rFonts w:ascii="FangSong" w:eastAsia="FangSong" w:hAnsi="FangSong" w:hint="eastAsia"/>
                <w:sz w:val="20"/>
                <w:lang w:eastAsia="zh-CN"/>
              </w:rPr>
              <w:t>如果决定受理申诉，委员会根据申诉内容组织相关成员启动申诉调查程序，以便与申诉相关方（申诉者、被申诉对象及可能存在的其他利益相关方）展开合作，深入全面了解申诉中提出的问题，识别更多利益相关方，完成调查报告并提交给申诉者、被申诉对象和委员会（决定受理申诉后60个工作日内）。</w:t>
            </w:r>
            <w:r w:rsidRPr="00104576">
              <w:rPr>
                <w:rFonts w:ascii="FangSong" w:eastAsia="FangSong" w:hAnsi="FangSong" w:hint="eastAsia"/>
                <w:sz w:val="20"/>
                <w:lang w:eastAsia="zh-CN"/>
              </w:rPr>
              <w:br/>
              <w:t>如申诉涉及亿丰实业上游供应链，联合办公室须要求亿丰实业在30个工作日内提供相关供应商信息及配合说明；调查报告须反映亿丰实业的配合情况及整改承诺。</w:t>
            </w:r>
          </w:p>
        </w:tc>
      </w:tr>
      <w:tr w:rsidR="00407C9E" w:rsidRPr="00104576">
        <w:tc>
          <w:tcPr>
            <w:tcW w:w="1587" w:type="dxa"/>
            <w:tcBorders>
              <w:top w:val="single" w:sz="4" w:space="0" w:color="AAAAAA"/>
              <w:left w:val="single" w:sz="4" w:space="0" w:color="AAAAAA"/>
              <w:bottom w:val="single" w:sz="4" w:space="0" w:color="AAAAAA"/>
              <w:right w:val="single" w:sz="4" w:space="0" w:color="AAAAAA"/>
            </w:tcBorders>
            <w:shd w:val="clear" w:color="auto" w:fill="EEF4FB"/>
          </w:tcPr>
          <w:p w:rsidR="00407C9E" w:rsidRPr="00104576" w:rsidRDefault="00000000">
            <w:pPr>
              <w:spacing w:before="60" w:after="60" w:line="300" w:lineRule="exact"/>
              <w:jc w:val="center"/>
              <w:rPr>
                <w:rFonts w:ascii="FangSong" w:eastAsia="FangSong" w:hAnsi="FangSong"/>
                <w:lang w:eastAsia="zh-CN"/>
              </w:rPr>
            </w:pPr>
            <w:r w:rsidRPr="00104576">
              <w:rPr>
                <w:rFonts w:ascii="FangSong" w:eastAsia="FangSong" w:hAnsi="FangSong" w:hint="eastAsia"/>
                <w:b/>
                <w:color w:val="2E5496"/>
                <w:sz w:val="20"/>
                <w:lang w:eastAsia="zh-CN"/>
              </w:rPr>
              <w:t>第四步</w:t>
            </w:r>
            <w:r w:rsidRPr="00104576">
              <w:rPr>
                <w:rFonts w:ascii="FangSong" w:eastAsia="FangSong" w:hAnsi="FangSong" w:hint="eastAsia"/>
                <w:b/>
                <w:color w:val="2E5496"/>
                <w:sz w:val="20"/>
                <w:lang w:eastAsia="zh-CN"/>
              </w:rPr>
              <w:br/>
              <w:t>解决争端</w:t>
            </w:r>
          </w:p>
        </w:tc>
        <w:tc>
          <w:tcPr>
            <w:tcW w:w="7483" w:type="dxa"/>
            <w:tcBorders>
              <w:top w:val="single" w:sz="4" w:space="0" w:color="AAAAAA"/>
              <w:left w:val="single" w:sz="4" w:space="0" w:color="AAAAAA"/>
              <w:bottom w:val="single" w:sz="4" w:space="0" w:color="AAAAAA"/>
              <w:right w:val="single" w:sz="4" w:space="0" w:color="AAAAAA"/>
            </w:tcBorders>
            <w:shd w:val="clear" w:color="auto" w:fill="EEF4FB"/>
          </w:tcPr>
          <w:p w:rsidR="00407C9E" w:rsidRPr="00104576" w:rsidRDefault="00000000">
            <w:pPr>
              <w:spacing w:before="60" w:after="60" w:line="300" w:lineRule="exact"/>
              <w:rPr>
                <w:rFonts w:ascii="FangSong" w:eastAsia="FangSong" w:hAnsi="FangSong"/>
                <w:lang w:eastAsia="zh-CN"/>
              </w:rPr>
            </w:pPr>
            <w:r w:rsidRPr="00104576">
              <w:rPr>
                <w:rFonts w:ascii="FangSong" w:eastAsia="FangSong" w:hAnsi="FangSong" w:hint="eastAsia"/>
                <w:sz w:val="20"/>
                <w:lang w:eastAsia="zh-CN"/>
              </w:rPr>
              <w:t>委员会联合申诉者和被申诉对象，对争端提出双方都能接受的解决方案和程序，推动双方达成书面共识。</w:t>
            </w:r>
            <w:r w:rsidRPr="00104576">
              <w:rPr>
                <w:rFonts w:ascii="FangSong" w:eastAsia="FangSong" w:hAnsi="FangSong" w:hint="eastAsia"/>
                <w:sz w:val="20"/>
                <w:lang w:eastAsia="zh-CN"/>
              </w:rPr>
              <w:br/>
              <w:t>如被申诉对象涉及亿丰实业的上游供应商，解决方案须同步征得亿丰实业确认，并</w:t>
            </w:r>
            <w:r w:rsidRPr="00104576">
              <w:rPr>
                <w:rFonts w:ascii="FangSong" w:eastAsia="FangSong" w:hAnsi="FangSong" w:hint="eastAsia"/>
                <w:sz w:val="20"/>
                <w:lang w:eastAsia="zh-CN"/>
              </w:rPr>
              <w:lastRenderedPageBreak/>
              <w:t>明确亿丰实业在督促上游供应商履行解决方案方面的责任和时限。</w:t>
            </w:r>
          </w:p>
        </w:tc>
      </w:tr>
      <w:tr w:rsidR="00407C9E" w:rsidRPr="00104576">
        <w:tc>
          <w:tcPr>
            <w:tcW w:w="1587" w:type="dxa"/>
            <w:tcBorders>
              <w:top w:val="single" w:sz="4" w:space="0" w:color="AAAAAA"/>
              <w:left w:val="single" w:sz="4" w:space="0" w:color="AAAAAA"/>
              <w:bottom w:val="single" w:sz="4" w:space="0" w:color="AAAAAA"/>
              <w:right w:val="single" w:sz="4" w:space="0" w:color="AAAAAA"/>
            </w:tcBorders>
          </w:tcPr>
          <w:p w:rsidR="00407C9E" w:rsidRPr="00104576" w:rsidRDefault="00000000">
            <w:pPr>
              <w:spacing w:before="60" w:after="60" w:line="300" w:lineRule="exact"/>
              <w:jc w:val="center"/>
              <w:rPr>
                <w:rFonts w:ascii="FangSong" w:eastAsia="FangSong" w:hAnsi="FangSong"/>
                <w:lang w:eastAsia="zh-CN"/>
              </w:rPr>
            </w:pPr>
            <w:r w:rsidRPr="00104576">
              <w:rPr>
                <w:rFonts w:ascii="FangSong" w:eastAsia="FangSong" w:hAnsi="FangSong" w:hint="eastAsia"/>
                <w:b/>
                <w:color w:val="2E5496"/>
                <w:sz w:val="20"/>
                <w:lang w:eastAsia="zh-CN"/>
              </w:rPr>
              <w:lastRenderedPageBreak/>
              <w:t>第五步</w:t>
            </w:r>
            <w:r w:rsidRPr="00104576">
              <w:rPr>
                <w:rFonts w:ascii="FangSong" w:eastAsia="FangSong" w:hAnsi="FangSong" w:hint="eastAsia"/>
                <w:b/>
                <w:color w:val="2E5496"/>
                <w:sz w:val="20"/>
                <w:lang w:eastAsia="zh-CN"/>
              </w:rPr>
              <w:br/>
              <w:t>执行监督</w:t>
            </w:r>
          </w:p>
        </w:tc>
        <w:tc>
          <w:tcPr>
            <w:tcW w:w="7483" w:type="dxa"/>
            <w:tcBorders>
              <w:top w:val="single" w:sz="4" w:space="0" w:color="AAAAAA"/>
              <w:left w:val="single" w:sz="4" w:space="0" w:color="AAAAAA"/>
              <w:bottom w:val="single" w:sz="4" w:space="0" w:color="AAAAAA"/>
              <w:right w:val="single" w:sz="4" w:space="0" w:color="AAAAAA"/>
            </w:tcBorders>
          </w:tcPr>
          <w:p w:rsidR="00407C9E" w:rsidRPr="00104576" w:rsidRDefault="00000000">
            <w:pPr>
              <w:spacing w:before="60" w:after="60" w:line="300" w:lineRule="exact"/>
              <w:rPr>
                <w:rFonts w:ascii="FangSong" w:eastAsia="FangSong" w:hAnsi="FangSong"/>
                <w:lang w:eastAsia="zh-CN"/>
              </w:rPr>
            </w:pPr>
            <w:r w:rsidRPr="00104576">
              <w:rPr>
                <w:rFonts w:ascii="FangSong" w:eastAsia="FangSong" w:hAnsi="FangSong" w:hint="eastAsia"/>
                <w:sz w:val="20"/>
                <w:lang w:eastAsia="zh-CN"/>
              </w:rPr>
              <w:t>申诉者和被申诉对象合作执行达成共识的解决方案，委员会负责监督执行。</w:t>
            </w:r>
            <w:r w:rsidRPr="00104576">
              <w:rPr>
                <w:rFonts w:ascii="FangSong" w:eastAsia="FangSong" w:hAnsi="FangSong" w:hint="eastAsia"/>
                <w:sz w:val="20"/>
                <w:lang w:eastAsia="zh-CN"/>
              </w:rPr>
              <w:br/>
              <w:t>如涉及亿丰实业上游供应链，联合办公室须定期向亿丰实业跟进执行进展，亿丰实业须书面反馈整改落实情况。</w:t>
            </w:r>
          </w:p>
        </w:tc>
      </w:tr>
      <w:tr w:rsidR="00407C9E" w:rsidRPr="00104576">
        <w:tc>
          <w:tcPr>
            <w:tcW w:w="1587" w:type="dxa"/>
            <w:tcBorders>
              <w:top w:val="single" w:sz="4" w:space="0" w:color="AAAAAA"/>
              <w:left w:val="single" w:sz="4" w:space="0" w:color="AAAAAA"/>
              <w:bottom w:val="single" w:sz="4" w:space="0" w:color="AAAAAA"/>
              <w:right w:val="single" w:sz="4" w:space="0" w:color="AAAAAA"/>
            </w:tcBorders>
            <w:shd w:val="clear" w:color="auto" w:fill="EEF4FB"/>
          </w:tcPr>
          <w:p w:rsidR="00407C9E" w:rsidRPr="00104576" w:rsidRDefault="00000000">
            <w:pPr>
              <w:spacing w:before="60" w:after="60" w:line="300" w:lineRule="exact"/>
              <w:jc w:val="center"/>
              <w:rPr>
                <w:rFonts w:ascii="FangSong" w:eastAsia="FangSong" w:hAnsi="FangSong"/>
                <w:lang w:eastAsia="zh-CN"/>
              </w:rPr>
            </w:pPr>
            <w:r w:rsidRPr="00104576">
              <w:rPr>
                <w:rFonts w:ascii="FangSong" w:eastAsia="FangSong" w:hAnsi="FangSong" w:hint="eastAsia"/>
                <w:b/>
                <w:color w:val="2E5496"/>
                <w:sz w:val="20"/>
                <w:lang w:eastAsia="zh-CN"/>
              </w:rPr>
              <w:t>第六步</w:t>
            </w:r>
            <w:r w:rsidRPr="00104576">
              <w:rPr>
                <w:rFonts w:ascii="FangSong" w:eastAsia="FangSong" w:hAnsi="FangSong" w:hint="eastAsia"/>
                <w:b/>
                <w:color w:val="2E5496"/>
                <w:sz w:val="20"/>
                <w:lang w:eastAsia="zh-CN"/>
              </w:rPr>
              <w:br/>
              <w:t>结案</w:t>
            </w:r>
          </w:p>
        </w:tc>
        <w:tc>
          <w:tcPr>
            <w:tcW w:w="7483" w:type="dxa"/>
            <w:tcBorders>
              <w:top w:val="single" w:sz="4" w:space="0" w:color="AAAAAA"/>
              <w:left w:val="single" w:sz="4" w:space="0" w:color="AAAAAA"/>
              <w:bottom w:val="single" w:sz="4" w:space="0" w:color="AAAAAA"/>
              <w:right w:val="single" w:sz="4" w:space="0" w:color="AAAAAA"/>
            </w:tcBorders>
            <w:shd w:val="clear" w:color="auto" w:fill="EEF4FB"/>
          </w:tcPr>
          <w:p w:rsidR="00407C9E" w:rsidRPr="00104576" w:rsidRDefault="00000000">
            <w:pPr>
              <w:spacing w:before="60" w:after="60" w:line="300" w:lineRule="exact"/>
              <w:rPr>
                <w:rFonts w:ascii="FangSong" w:eastAsia="FangSong" w:hAnsi="FangSong"/>
                <w:lang w:eastAsia="zh-CN"/>
              </w:rPr>
            </w:pPr>
            <w:r w:rsidRPr="00104576">
              <w:rPr>
                <w:rFonts w:ascii="FangSong" w:eastAsia="FangSong" w:hAnsi="FangSong" w:hint="eastAsia"/>
                <w:sz w:val="20"/>
                <w:lang w:eastAsia="zh-CN"/>
              </w:rPr>
              <w:t>申诉者和被申诉对象双方接受解决方案的执行结果，并签署执行结果确认书，委员会决定结案。如果经过一轮或者几轮磋商，申诉者和被申诉对象中的任何一方不接受解决方案（第四步），或者不接受解决方案的执行结果（第五步），则可以寻求第三方途径，如第三方争端解决机构或专家等，公司内部申诉程序自动终结。联合办公室将申诉程序的最终结果通知申诉者、被申诉对象和委员会。</w:t>
            </w:r>
            <w:r w:rsidRPr="00104576">
              <w:rPr>
                <w:rFonts w:ascii="FangSong" w:eastAsia="FangSong" w:hAnsi="FangSong" w:hint="eastAsia"/>
                <w:sz w:val="20"/>
                <w:lang w:eastAsia="zh-CN"/>
              </w:rPr>
              <w:br/>
              <w:t>如最终无法解决且涉及亿丰实业上游供应链重大风险，公司将依据《委托加工协议补充协议》启动相应措施。</w:t>
            </w:r>
          </w:p>
        </w:tc>
      </w:tr>
      <w:tr w:rsidR="00407C9E" w:rsidRPr="00104576">
        <w:tc>
          <w:tcPr>
            <w:tcW w:w="1587" w:type="dxa"/>
            <w:tcBorders>
              <w:top w:val="single" w:sz="4" w:space="0" w:color="AAAAAA"/>
              <w:left w:val="single" w:sz="4" w:space="0" w:color="AAAAAA"/>
              <w:bottom w:val="single" w:sz="4" w:space="0" w:color="AAAAAA"/>
              <w:right w:val="single" w:sz="4" w:space="0" w:color="AAAAAA"/>
            </w:tcBorders>
          </w:tcPr>
          <w:p w:rsidR="00407C9E" w:rsidRPr="00104576" w:rsidRDefault="00000000">
            <w:pPr>
              <w:spacing w:before="60" w:after="60" w:line="300" w:lineRule="exact"/>
              <w:jc w:val="center"/>
              <w:rPr>
                <w:rFonts w:ascii="FangSong" w:eastAsia="FangSong" w:hAnsi="FangSong"/>
                <w:lang w:eastAsia="zh-CN"/>
              </w:rPr>
            </w:pPr>
            <w:r w:rsidRPr="00104576">
              <w:rPr>
                <w:rFonts w:ascii="FangSong" w:eastAsia="FangSong" w:hAnsi="FangSong" w:hint="eastAsia"/>
                <w:b/>
                <w:color w:val="2E5496"/>
                <w:sz w:val="20"/>
                <w:lang w:eastAsia="zh-CN"/>
              </w:rPr>
              <w:t>第七步</w:t>
            </w:r>
            <w:r w:rsidRPr="00104576">
              <w:rPr>
                <w:rFonts w:ascii="FangSong" w:eastAsia="FangSong" w:hAnsi="FangSong" w:hint="eastAsia"/>
                <w:b/>
                <w:color w:val="2E5496"/>
                <w:sz w:val="20"/>
                <w:lang w:eastAsia="zh-CN"/>
              </w:rPr>
              <w:br/>
              <w:t>存档</w:t>
            </w:r>
          </w:p>
        </w:tc>
        <w:tc>
          <w:tcPr>
            <w:tcW w:w="7483" w:type="dxa"/>
            <w:tcBorders>
              <w:top w:val="single" w:sz="4" w:space="0" w:color="AAAAAA"/>
              <w:left w:val="single" w:sz="4" w:space="0" w:color="AAAAAA"/>
              <w:bottom w:val="single" w:sz="4" w:space="0" w:color="AAAAAA"/>
              <w:right w:val="single" w:sz="4" w:space="0" w:color="AAAAAA"/>
            </w:tcBorders>
          </w:tcPr>
          <w:p w:rsidR="00407C9E" w:rsidRPr="00104576" w:rsidRDefault="00000000">
            <w:pPr>
              <w:spacing w:before="60" w:after="60" w:line="300" w:lineRule="exact"/>
              <w:rPr>
                <w:rFonts w:ascii="FangSong" w:eastAsia="FangSong" w:hAnsi="FangSong"/>
                <w:lang w:eastAsia="zh-CN"/>
              </w:rPr>
            </w:pPr>
            <w:r w:rsidRPr="00104576">
              <w:rPr>
                <w:rFonts w:ascii="FangSong" w:eastAsia="FangSong" w:hAnsi="FangSong" w:hint="eastAsia"/>
                <w:sz w:val="20"/>
                <w:lang w:eastAsia="zh-CN"/>
              </w:rPr>
              <w:t>针对所有被受理的申诉，联合办公室将申诉书、调查报告、解决方案的书面共识、执行结果确认书等相关文件一并存档保管，保存期限不少于5年。</w:t>
            </w:r>
          </w:p>
        </w:tc>
      </w:tr>
    </w:tbl>
    <w:p w:rsidR="00407C9E" w:rsidRDefault="00302293">
      <w:pPr>
        <w:spacing w:before="160" w:after="0"/>
        <w:rPr>
          <w:rFonts w:ascii="FangSong" w:eastAsia="FangSong" w:hAnsi="FangSong"/>
          <w:lang w:eastAsia="zh-CN"/>
        </w:rPr>
      </w:pPr>
      <w:r>
        <w:rPr>
          <w:rFonts w:ascii="FangSong" w:eastAsia="FangSong" w:hAnsi="FangSong" w:hint="eastAsia"/>
          <w:lang w:eastAsia="zh-CN"/>
        </w:rPr>
        <w:t>下图为简化的申诉处理流程：</w:t>
      </w:r>
    </w:p>
    <w:p w:rsidR="00302293" w:rsidRDefault="008711ED" w:rsidP="00302293">
      <w:pPr>
        <w:spacing w:before="160" w:after="0"/>
        <w:jc w:val="center"/>
        <w:rPr>
          <w:rFonts w:ascii="FangSong" w:eastAsia="FangSong" w:hAnsi="FangSong"/>
          <w:lang w:eastAsia="zh-CN"/>
        </w:rPr>
      </w:pPr>
      <w:r w:rsidRPr="008711ED">
        <w:rPr>
          <w:rFonts w:ascii="FangSong" w:eastAsia="FangSong" w:hAnsi="FangSong"/>
          <w:lang w:eastAsia="zh-CN"/>
        </w:rPr>
        <w:drawing>
          <wp:inline distT="0" distB="0" distL="0" distR="0" wp14:anchorId="74655412" wp14:editId="697DADFF">
            <wp:extent cx="3970638" cy="5370342"/>
            <wp:effectExtent l="0" t="0" r="0" b="0"/>
            <wp:docPr id="1143495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495443" name=""/>
                    <pic:cNvPicPr/>
                  </pic:nvPicPr>
                  <pic:blipFill>
                    <a:blip r:embed="rId8"/>
                    <a:stretch>
                      <a:fillRect/>
                    </a:stretch>
                  </pic:blipFill>
                  <pic:spPr>
                    <a:xfrm>
                      <a:off x="0" y="0"/>
                      <a:ext cx="3993232" cy="5400900"/>
                    </a:xfrm>
                    <a:prstGeom prst="rect">
                      <a:avLst/>
                    </a:prstGeom>
                  </pic:spPr>
                </pic:pic>
              </a:graphicData>
            </a:graphic>
          </wp:inline>
        </w:drawing>
      </w:r>
    </w:p>
    <w:p w:rsidR="00302293" w:rsidRPr="00104576" w:rsidRDefault="00302293" w:rsidP="00302293">
      <w:pPr>
        <w:spacing w:before="160" w:after="0"/>
        <w:jc w:val="center"/>
        <w:rPr>
          <w:rFonts w:ascii="FangSong" w:eastAsia="FangSong" w:hAnsi="FangSong"/>
          <w:lang w:eastAsia="zh-CN"/>
        </w:rPr>
      </w:pPr>
      <w:r w:rsidRPr="00302293">
        <w:rPr>
          <w:rFonts w:ascii="FangSong" w:eastAsia="FangSong" w:hAnsi="FangSong" w:hint="eastAsia"/>
          <w:lang w:eastAsia="zh-CN"/>
        </w:rPr>
        <w:t>图</w:t>
      </w:r>
      <w:r w:rsidRPr="00302293">
        <w:rPr>
          <w:rFonts w:ascii="FangSong" w:eastAsia="FangSong" w:hAnsi="FangSong"/>
          <w:lang w:eastAsia="zh-CN"/>
        </w:rPr>
        <w:t xml:space="preserve">1  </w:t>
      </w:r>
      <w:r w:rsidRPr="00302293">
        <w:rPr>
          <w:rFonts w:ascii="FangSong" w:eastAsia="FangSong" w:hAnsi="FangSong" w:hint="eastAsia"/>
          <w:lang w:eastAsia="zh-CN"/>
        </w:rPr>
        <w:t>矿产供应链尽责管理申诉处理流程</w:t>
      </w:r>
    </w:p>
    <w:p w:rsidR="00407C9E" w:rsidRPr="00104576" w:rsidRDefault="00000000">
      <w:pPr>
        <w:spacing w:before="160" w:after="80" w:line="400" w:lineRule="exact"/>
        <w:rPr>
          <w:rFonts w:ascii="FangSong" w:eastAsia="FangSong" w:hAnsi="FangSong"/>
          <w:lang w:eastAsia="zh-CN"/>
        </w:rPr>
      </w:pPr>
      <w:r w:rsidRPr="00104576">
        <w:rPr>
          <w:rFonts w:ascii="FangSong" w:eastAsia="FangSong" w:hAnsi="FangSong" w:hint="eastAsia"/>
          <w:b/>
          <w:color w:val="2E5496"/>
          <w:sz w:val="24"/>
          <w:lang w:eastAsia="zh-CN"/>
        </w:rPr>
        <w:lastRenderedPageBreak/>
        <w:t>三、冲突回避机制</w:t>
      </w:r>
    </w:p>
    <w:p w:rsidR="00407C9E" w:rsidRPr="00104576" w:rsidRDefault="00000000">
      <w:pPr>
        <w:spacing w:before="60" w:after="160" w:line="400" w:lineRule="exact"/>
        <w:rPr>
          <w:rFonts w:ascii="FangSong" w:eastAsia="FangSong" w:hAnsi="FangSong"/>
          <w:lang w:eastAsia="zh-CN"/>
        </w:rPr>
      </w:pPr>
      <w:r w:rsidRPr="00104576">
        <w:rPr>
          <w:rFonts w:ascii="FangSong" w:eastAsia="FangSong" w:hAnsi="FangSong" w:hint="eastAsia"/>
          <w:lang w:eastAsia="zh-CN"/>
        </w:rPr>
        <w:t xml:space="preserve">    申诉采用冲突回避机制。如委员会、联合办公室的任何人员与申诉者存在利益冲突，应回避申诉解决的过程。申诉者可在申诉书中注明需要回避的人员姓名。</w:t>
      </w:r>
    </w:p>
    <w:p w:rsidR="00407C9E" w:rsidRPr="00104576" w:rsidRDefault="00000000">
      <w:pPr>
        <w:spacing w:before="160" w:after="80" w:line="400" w:lineRule="exact"/>
        <w:rPr>
          <w:rFonts w:ascii="FangSong" w:eastAsia="FangSong" w:hAnsi="FangSong"/>
          <w:lang w:eastAsia="zh-CN"/>
        </w:rPr>
      </w:pPr>
      <w:r w:rsidRPr="00104576">
        <w:rPr>
          <w:rFonts w:ascii="FangSong" w:eastAsia="FangSong" w:hAnsi="FangSong" w:hint="eastAsia"/>
          <w:b/>
          <w:color w:val="2E5496"/>
          <w:sz w:val="24"/>
          <w:lang w:eastAsia="zh-CN"/>
        </w:rPr>
        <w:t>四、附则</w:t>
      </w:r>
    </w:p>
    <w:p w:rsidR="00407C9E" w:rsidRPr="00104576" w:rsidRDefault="00000000">
      <w:pPr>
        <w:spacing w:before="80" w:after="80" w:line="400" w:lineRule="exact"/>
        <w:ind w:left="400" w:hanging="320"/>
        <w:rPr>
          <w:rFonts w:ascii="FangSong" w:eastAsia="FangSong" w:hAnsi="FangSong"/>
          <w:lang w:eastAsia="zh-CN"/>
        </w:rPr>
      </w:pPr>
      <w:r w:rsidRPr="00104576">
        <w:rPr>
          <w:rFonts w:ascii="FangSong" w:eastAsia="FangSong" w:hAnsi="FangSong" w:hint="eastAsia"/>
          <w:lang w:eastAsia="zh-CN"/>
        </w:rPr>
        <w:t>1. 本办法经审议批准之日起生效。</w:t>
      </w:r>
    </w:p>
    <w:p w:rsidR="00407C9E" w:rsidRPr="00104576" w:rsidRDefault="00000000">
      <w:pPr>
        <w:spacing w:before="80" w:after="80" w:line="400" w:lineRule="exact"/>
        <w:ind w:left="400" w:hanging="320"/>
        <w:rPr>
          <w:rFonts w:ascii="FangSong" w:eastAsia="FangSong" w:hAnsi="FangSong"/>
          <w:lang w:eastAsia="zh-CN"/>
        </w:rPr>
      </w:pPr>
      <w:r w:rsidRPr="00104576">
        <w:rPr>
          <w:rFonts w:ascii="FangSong" w:eastAsia="FangSong" w:hAnsi="FangSong" w:hint="eastAsia"/>
          <w:lang w:eastAsia="zh-CN"/>
        </w:rPr>
        <w:t>2. 本办法由新疆嘉润资源控股有限公司供应链尽责管理联合办公室负责解释。</w:t>
      </w:r>
    </w:p>
    <w:p w:rsidR="00407C9E" w:rsidRPr="00104576" w:rsidRDefault="00000000">
      <w:pPr>
        <w:spacing w:before="80" w:after="80" w:line="400" w:lineRule="exact"/>
        <w:ind w:left="400" w:hanging="320"/>
        <w:rPr>
          <w:rFonts w:ascii="FangSong" w:eastAsia="FangSong" w:hAnsi="FangSong"/>
          <w:lang w:eastAsia="zh-CN"/>
        </w:rPr>
      </w:pPr>
      <w:r w:rsidRPr="00104576">
        <w:rPr>
          <w:rFonts w:ascii="FangSong" w:eastAsia="FangSong" w:hAnsi="FangSong" w:hint="eastAsia"/>
          <w:lang w:eastAsia="zh-CN"/>
        </w:rPr>
        <w:t>3. 本办法每年审阅一次，如遇重大情况变化须及时修订，修订须经委员会批准。</w:t>
      </w:r>
    </w:p>
    <w:p w:rsidR="00407C9E" w:rsidRPr="00104576" w:rsidRDefault="00407C9E">
      <w:pPr>
        <w:spacing w:before="80" w:after="0"/>
        <w:rPr>
          <w:rFonts w:ascii="FangSong" w:eastAsia="FangSong" w:hAnsi="FangSong"/>
          <w:lang w:eastAsia="zh-CN"/>
        </w:rPr>
      </w:pPr>
    </w:p>
    <w:tbl>
      <w:tblPr>
        <w:tblStyle w:val="TableGrid"/>
        <w:tblW w:w="9072" w:type="dxa"/>
        <w:tblLook w:val="04A0" w:firstRow="1" w:lastRow="0" w:firstColumn="1" w:lastColumn="0" w:noHBand="0" w:noVBand="1"/>
      </w:tblPr>
      <w:tblGrid>
        <w:gridCol w:w="9072"/>
      </w:tblGrid>
      <w:tr w:rsidR="00407C9E" w:rsidRPr="00104576">
        <w:tc>
          <w:tcPr>
            <w:tcW w:w="9072" w:type="dxa"/>
            <w:tcBorders>
              <w:top w:val="single" w:sz="4" w:space="0" w:color="2E5496"/>
              <w:left w:val="single" w:sz="4" w:space="0" w:color="2E5496"/>
              <w:bottom w:val="single" w:sz="4" w:space="0" w:color="2E5496"/>
              <w:right w:val="single" w:sz="4" w:space="0" w:color="2E5496"/>
            </w:tcBorders>
            <w:shd w:val="clear" w:color="auto" w:fill="D6E4F7"/>
          </w:tcPr>
          <w:p w:rsidR="00407C9E" w:rsidRPr="00104576" w:rsidRDefault="00000000">
            <w:pPr>
              <w:spacing w:before="80" w:after="40" w:line="300" w:lineRule="exact"/>
              <w:rPr>
                <w:rFonts w:ascii="FangSong" w:eastAsia="FangSong" w:hAnsi="FangSong"/>
                <w:lang w:eastAsia="zh-CN"/>
              </w:rPr>
            </w:pPr>
            <w:r w:rsidRPr="00104576">
              <w:rPr>
                <w:rFonts w:ascii="FangSong" w:eastAsia="FangSong" w:hAnsi="FangSong" w:hint="eastAsia"/>
                <w:b/>
                <w:sz w:val="20"/>
                <w:lang w:eastAsia="zh-CN"/>
              </w:rPr>
              <w:t>申诉联系方式：</w:t>
            </w:r>
          </w:p>
          <w:p w:rsidR="00407C9E" w:rsidRPr="00104576" w:rsidRDefault="00000000">
            <w:pPr>
              <w:spacing w:before="40" w:after="40" w:line="300" w:lineRule="exact"/>
              <w:rPr>
                <w:rFonts w:ascii="FangSong" w:eastAsia="FangSong" w:hAnsi="FangSong" w:hint="eastAsia"/>
                <w:lang w:eastAsia="zh-CN"/>
              </w:rPr>
            </w:pPr>
            <w:r w:rsidRPr="00104576">
              <w:rPr>
                <w:rFonts w:ascii="FangSong" w:eastAsia="FangSong" w:hAnsi="FangSong" w:hint="eastAsia"/>
                <w:sz w:val="20"/>
                <w:lang w:eastAsia="zh-CN"/>
              </w:rPr>
              <w:t>邮箱：</w:t>
            </w:r>
            <w:hyperlink r:id="rId9" w:history="1">
              <w:r w:rsidR="008711ED" w:rsidRPr="00993CEC">
                <w:rPr>
                  <w:rStyle w:val="Hyperlink"/>
                  <w:rFonts w:ascii="FangSong" w:eastAsia="FangSong" w:hAnsi="FangSong" w:hint="eastAsia"/>
                  <w:sz w:val="20"/>
                  <w:lang w:eastAsia="zh-CN"/>
                </w:rPr>
                <w:t>_</w:t>
              </w:r>
              <w:r w:rsidR="008711ED" w:rsidRPr="00993CEC">
                <w:rPr>
                  <w:rStyle w:val="Hyperlink"/>
                  <w:rFonts w:ascii="FangSong" w:eastAsia="FangSong" w:hAnsi="FangSong"/>
                  <w:sz w:val="20"/>
                  <w:lang w:eastAsia="zh-CN"/>
                </w:rPr>
                <w:t>1556650125@qq.com</w:t>
              </w:r>
            </w:hyperlink>
            <w:r w:rsidR="008711ED" w:rsidRPr="008711ED">
              <w:rPr>
                <w:rFonts w:ascii="FangSong" w:eastAsia="FangSong" w:hAnsi="FangSong" w:hint="eastAsia"/>
                <w:sz w:val="20"/>
                <w:u w:val="single"/>
                <w:lang w:eastAsia="zh-CN"/>
              </w:rPr>
              <w:t xml:space="preserve"> </w:t>
            </w:r>
          </w:p>
          <w:p w:rsidR="008711ED" w:rsidRDefault="00000000">
            <w:pPr>
              <w:spacing w:before="40" w:after="40" w:line="300" w:lineRule="exact"/>
              <w:rPr>
                <w:rFonts w:ascii="FangSong" w:eastAsia="FangSong" w:hAnsi="FangSong"/>
                <w:sz w:val="20"/>
                <w:lang w:eastAsia="zh-CN"/>
              </w:rPr>
            </w:pPr>
            <w:r w:rsidRPr="00104576">
              <w:rPr>
                <w:rFonts w:ascii="FangSong" w:eastAsia="FangSong" w:hAnsi="FangSong" w:hint="eastAsia"/>
                <w:sz w:val="20"/>
                <w:lang w:eastAsia="zh-CN"/>
              </w:rPr>
              <w:t xml:space="preserve">邮寄地址：新疆维吾尔自治区昌吉回族自治州玛纳斯县塔河工业园区嘉润产业园  </w:t>
            </w:r>
          </w:p>
          <w:p w:rsidR="00407C9E" w:rsidRPr="00104576" w:rsidRDefault="00000000">
            <w:pPr>
              <w:spacing w:before="40" w:after="40" w:line="300" w:lineRule="exact"/>
              <w:rPr>
                <w:rFonts w:ascii="FangSong" w:eastAsia="FangSong" w:hAnsi="FangSong"/>
                <w:lang w:eastAsia="zh-CN"/>
              </w:rPr>
            </w:pPr>
            <w:r w:rsidRPr="00104576">
              <w:rPr>
                <w:rFonts w:ascii="FangSong" w:eastAsia="FangSong" w:hAnsi="FangSong" w:hint="eastAsia"/>
                <w:sz w:val="20"/>
                <w:lang w:eastAsia="zh-CN"/>
              </w:rPr>
              <w:t>供应链尽责管理联合办公室</w:t>
            </w:r>
          </w:p>
          <w:p w:rsidR="00407C9E" w:rsidRPr="00104576" w:rsidRDefault="00000000">
            <w:pPr>
              <w:spacing w:before="40" w:after="80" w:line="300" w:lineRule="exact"/>
              <w:rPr>
                <w:rFonts w:ascii="FangSong" w:eastAsia="FangSong" w:hAnsi="FangSong"/>
                <w:lang w:eastAsia="zh-CN"/>
              </w:rPr>
            </w:pPr>
            <w:r w:rsidRPr="00104576">
              <w:rPr>
                <w:rFonts w:ascii="FangSong" w:eastAsia="FangSong" w:hAnsi="FangSong" w:hint="eastAsia"/>
                <w:sz w:val="20"/>
                <w:lang w:eastAsia="zh-CN"/>
              </w:rPr>
              <w:t>电话：_</w:t>
            </w:r>
            <w:r w:rsidR="008711ED" w:rsidRPr="008711ED">
              <w:rPr>
                <w:rFonts w:ascii="FangSong" w:eastAsia="FangSong" w:hAnsi="FangSong"/>
                <w:sz w:val="20"/>
                <w:u w:val="single"/>
                <w:lang w:eastAsia="zh-CN"/>
              </w:rPr>
              <w:t>0994-6339091</w:t>
            </w:r>
            <w:r w:rsidRPr="00104576">
              <w:rPr>
                <w:rFonts w:ascii="FangSong" w:eastAsia="FangSong" w:hAnsi="FangSong" w:hint="eastAsia"/>
                <w:sz w:val="20"/>
                <w:lang w:eastAsia="zh-CN"/>
              </w:rPr>
              <w:t>__</w:t>
            </w:r>
          </w:p>
        </w:tc>
      </w:tr>
    </w:tbl>
    <w:p w:rsidR="00407C9E" w:rsidRPr="00104576" w:rsidRDefault="00407C9E">
      <w:pPr>
        <w:spacing w:before="280" w:after="0"/>
        <w:rPr>
          <w:rFonts w:ascii="FangSong" w:eastAsia="FangSong" w:hAnsi="FangSong"/>
          <w:lang w:eastAsia="zh-CN"/>
        </w:rPr>
      </w:pPr>
    </w:p>
    <w:p w:rsidR="00407C9E" w:rsidRPr="00104576" w:rsidRDefault="00407C9E">
      <w:pPr>
        <w:spacing w:before="40" w:after="80" w:line="400" w:lineRule="exact"/>
        <w:jc w:val="right"/>
        <w:rPr>
          <w:rFonts w:ascii="FangSong" w:eastAsia="FangSong" w:hAnsi="FangSong"/>
          <w:lang w:eastAsia="zh-CN"/>
        </w:rPr>
      </w:pPr>
    </w:p>
    <w:sectPr w:rsidR="00407C9E" w:rsidRPr="00104576" w:rsidSect="00973424">
      <w:footerReference w:type="even" r:id="rId10"/>
      <w:footerReference w:type="default" r:id="rId11"/>
      <w:pgSz w:w="11906" w:h="16838"/>
      <w:pgMar w:top="1417" w:right="1417" w:bottom="1134" w:left="1417"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A22E4" w:rsidRDefault="009A22E4" w:rsidP="00973424">
      <w:pPr>
        <w:spacing w:after="0" w:line="240" w:lineRule="auto"/>
      </w:pPr>
      <w:r>
        <w:separator/>
      </w:r>
    </w:p>
  </w:endnote>
  <w:endnote w:type="continuationSeparator" w:id="0">
    <w:p w:rsidR="009A22E4" w:rsidRDefault="009A22E4" w:rsidP="00973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FangSong">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67178981"/>
      <w:docPartObj>
        <w:docPartGallery w:val="Page Numbers (Bottom of Page)"/>
        <w:docPartUnique/>
      </w:docPartObj>
    </w:sdtPr>
    <w:sdtContent>
      <w:p w:rsidR="00973424" w:rsidRDefault="00973424" w:rsidP="00953EC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973424" w:rsidRDefault="009734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34034117"/>
      <w:docPartObj>
        <w:docPartGallery w:val="Page Numbers (Bottom of Page)"/>
        <w:docPartUnique/>
      </w:docPartObj>
    </w:sdtPr>
    <w:sdtContent>
      <w:p w:rsidR="00973424" w:rsidRDefault="00973424" w:rsidP="00953EC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- 1 -</w:t>
        </w:r>
        <w:r>
          <w:rPr>
            <w:rStyle w:val="PageNumber"/>
          </w:rPr>
          <w:fldChar w:fldCharType="end"/>
        </w:r>
      </w:p>
    </w:sdtContent>
  </w:sdt>
  <w:p w:rsidR="00973424" w:rsidRDefault="009734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A22E4" w:rsidRDefault="009A22E4" w:rsidP="00973424">
      <w:pPr>
        <w:spacing w:after="0" w:line="240" w:lineRule="auto"/>
      </w:pPr>
      <w:r>
        <w:separator/>
      </w:r>
    </w:p>
  </w:footnote>
  <w:footnote w:type="continuationSeparator" w:id="0">
    <w:p w:rsidR="009A22E4" w:rsidRDefault="009A22E4" w:rsidP="009734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64285622">
    <w:abstractNumId w:val="8"/>
  </w:num>
  <w:num w:numId="2" w16cid:durableId="87124765">
    <w:abstractNumId w:val="6"/>
  </w:num>
  <w:num w:numId="3" w16cid:durableId="2076925498">
    <w:abstractNumId w:val="5"/>
  </w:num>
  <w:num w:numId="4" w16cid:durableId="322049814">
    <w:abstractNumId w:val="4"/>
  </w:num>
  <w:num w:numId="5" w16cid:durableId="733890466">
    <w:abstractNumId w:val="7"/>
  </w:num>
  <w:num w:numId="6" w16cid:durableId="773985757">
    <w:abstractNumId w:val="3"/>
  </w:num>
  <w:num w:numId="7" w16cid:durableId="520632668">
    <w:abstractNumId w:val="2"/>
  </w:num>
  <w:num w:numId="8" w16cid:durableId="124003507">
    <w:abstractNumId w:val="1"/>
  </w:num>
  <w:num w:numId="9" w16cid:durableId="601449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781D"/>
    <w:rsid w:val="00104576"/>
    <w:rsid w:val="0015074B"/>
    <w:rsid w:val="00156829"/>
    <w:rsid w:val="0029639D"/>
    <w:rsid w:val="00302293"/>
    <w:rsid w:val="00326F90"/>
    <w:rsid w:val="0033249D"/>
    <w:rsid w:val="00407C9E"/>
    <w:rsid w:val="00775112"/>
    <w:rsid w:val="008711ED"/>
    <w:rsid w:val="00973424"/>
    <w:rsid w:val="009A22E4"/>
    <w:rsid w:val="00A87458"/>
    <w:rsid w:val="00AA1D8D"/>
    <w:rsid w:val="00AC088C"/>
    <w:rsid w:val="00B47730"/>
    <w:rsid w:val="00C708C4"/>
    <w:rsid w:val="00CB0664"/>
    <w:rsid w:val="00DC24FE"/>
    <w:rsid w:val="00E66A7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2107F8"/>
  <w14:defaultImageDpi w14:val="300"/>
  <w15:docId w15:val="{8C4D1085-5E87-C445-9149-2D1276403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973424"/>
  </w:style>
  <w:style w:type="character" w:styleId="Hyperlink">
    <w:name w:val="Hyperlink"/>
    <w:basedOn w:val="DefaultParagraphFont"/>
    <w:uiPriority w:val="99"/>
    <w:unhideWhenUsed/>
    <w:rsid w:val="008711ED"/>
    <w:rPr>
      <w:color w:val="0000FF" w:themeColor="hyperlink"/>
      <w:u w:val="single"/>
    </w:rPr>
  </w:style>
  <w:style w:type="character" w:styleId="UnresolvedMention">
    <w:name w:val="Unresolved Mention"/>
    <w:basedOn w:val="DefaultParagraphFont"/>
    <w:uiPriority w:val="99"/>
    <w:semiHidden/>
    <w:unhideWhenUsed/>
    <w:rsid w:val="008711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_1556650125@qq.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257</Words>
  <Characters>1467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Cheng</cp:lastModifiedBy>
  <cp:revision>13</cp:revision>
  <dcterms:created xsi:type="dcterms:W3CDTF">2013-12-23T23:15:00Z</dcterms:created>
  <dcterms:modified xsi:type="dcterms:W3CDTF">2026-08-02T21:29:00Z</dcterms:modified>
  <cp:category/>
</cp:coreProperties>
</file>