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67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288" w:lineRule="auto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40"/>
          <w:szCs w:val="18"/>
          <w:lang w:eastAsia="zh-CN"/>
        </w:rPr>
      </w:pPr>
      <w:r>
        <w:rPr>
          <w:rFonts w:hint="eastAsia" w:asciiTheme="minorEastAsia" w:hAnsiTheme="minorEastAsia" w:cstheme="minorEastAsia"/>
          <w:b w:val="0"/>
          <w:bCs/>
          <w:sz w:val="40"/>
          <w:szCs w:val="18"/>
          <w:lang w:eastAsia="zh-CN"/>
        </w:rPr>
        <w:t>杭州市临平区星创社会工作服务中心</w:t>
      </w:r>
    </w:p>
    <w:p w14:paraId="3B8F1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288" w:lineRule="auto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16"/>
          <w:szCs w:val="18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40"/>
          <w:szCs w:val="18"/>
        </w:rPr>
        <w:t>党建工作经费保障制度</w:t>
      </w:r>
    </w:p>
    <w:p w14:paraId="0492D92C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为深入贯彻落实中央、省委、市委及区委关于加强基层党组织建设、健全党建工作经费保障机制的各项工作部署与要求，全面夯实本中心基层党建工作基础，切实保障党组织日常党务活动、党员教育管理、党建阵地建设等各项工作常态化、规范化开展，不断提升本中心党组织的政治功能和组织功能，增强党组织的创造力、凝聚力、向心力和战斗力，充分发挥党建引领社会组织服务、基层治理、公益服务开展的核心作用，结合杭州市社会组织党建工作相关管理要求及本中心运营发展、党建工作实际情况，特制定本制度实施细则。</w:t>
      </w:r>
    </w:p>
    <w:p w14:paraId="0B12DF74">
      <w:pPr>
        <w:spacing w:before="380" w:after="140" w:line="288" w:lineRule="auto"/>
        <w:ind w:left="0"/>
        <w:jc w:val="center"/>
        <w:outlineLvl w:val="0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0" w:name="heading_0"/>
      <w:r>
        <w:rPr>
          <w:rFonts w:hint="eastAsia" w:asciiTheme="minorEastAsia" w:hAnsiTheme="minorEastAsia" w:eastAsiaTheme="minorEastAsia" w:cstheme="minorEastAsia"/>
          <w:b w:val="0"/>
          <w:bCs/>
          <w:sz w:val="36"/>
        </w:rPr>
        <w:t>第一章 总则</w:t>
      </w:r>
      <w:bookmarkEnd w:id="0"/>
    </w:p>
    <w:p w14:paraId="5950BFF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第一条 制定依据与制度目的</w:t>
      </w:r>
    </w:p>
    <w:p w14:paraId="1BC6EAA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为全面加强本中心党的基层组织标准化、规范化建设，健全党建工作经费管理体系，严格规范党建工作经费的筹措、使用、审批、报销及监管全流程工作，杜绝经费使用不规范、管理混乱等问题，切实提高党建经费使用效益，保障党建各项工作有序落地。根据《中国共产党党和国家机关基层组织工作条例》《中国共产党基层组织选举工作条例》及省市、临平区关于社会组织党建工作经费管理的相关法律法规、政策文件，结合本中心社会组织工作属性与党建工作实际，特制定本制度。本制度适用于本中心所有党建工作经费的管理与使用，是本中心党建经费运营管理的核心准则。</w:t>
      </w:r>
    </w:p>
    <w:p w14:paraId="79AAF509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第二条 经费管理使用原则</w:t>
      </w:r>
    </w:p>
    <w:p w14:paraId="233048F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本中心党建工作经费的筹措、分配、使用与日常管理工作，必须严格遵循三大核心原则，全程合规可控、公开透明：一是厉行节约、反对浪费原则。严格把控经费支出，杜绝铺张浪费、超额开支、无效支出，坚持务实节俭开展党建工作，最大化发挥经费价值；二是专款专用、透明公开原则。党建经费专项用于党建工作相关事项，不得挤占、挪用、截留，全程留存台账资料，主动接受内部监督与上级核查；三是严格遵守中央八项规定精神原则。严守党风廉政建设各项规定，杜绝违规开支、超标支出，杜绝一切违反作风建设要求的经费使用行为，筑牢党建经费廉洁使用底线。</w:t>
      </w:r>
    </w:p>
    <w:p w14:paraId="580F35C1">
      <w:pPr>
        <w:spacing w:before="380" w:after="140" w:line="288" w:lineRule="auto"/>
        <w:ind w:left="0"/>
        <w:jc w:val="center"/>
        <w:outlineLvl w:val="0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1" w:name="heading_1"/>
      <w:r>
        <w:rPr>
          <w:rFonts w:hint="eastAsia" w:asciiTheme="minorEastAsia" w:hAnsiTheme="minorEastAsia" w:eastAsiaTheme="minorEastAsia" w:cstheme="minorEastAsia"/>
          <w:b w:val="0"/>
          <w:bCs/>
          <w:sz w:val="36"/>
        </w:rPr>
        <w:t>第二章 经费来源与分配</w:t>
      </w:r>
      <w:bookmarkEnd w:id="1"/>
    </w:p>
    <w:p w14:paraId="3D1F3C96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第三条 党建经费来源</w:t>
      </w:r>
    </w:p>
    <w:p w14:paraId="32E1496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本中心党建工作经费来源合法合规、渠道稳定，主要包含两大类别，所有经费均统一纳入专项台账管理，单独核算、专款专用：一是财政专项党建资金。各级党委、政府及民政、社会组织主管部门拨付的基层党建专项工作经费、社会组织党建扶持经费等财政拨付资金；二是其他合法来源。在符合法律法规及党建工作管理规定前提下，通过合规渠道筹措的、专门用于本中心党建工作的合法经费，所有来源经费均需登记备案，确保来源清晰、合规可查。</w:t>
      </w:r>
    </w:p>
    <w:p w14:paraId="72A08F73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第四条 经费分配规则</w:t>
      </w:r>
    </w:p>
    <w:p w14:paraId="421F67A4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本中心党建工作经费统一由上级党委组织部门统筹调配、合理分配使用。经费分配结合本中心党组织实际情况综合核定，主要参考党组织党员人数、年度党建工作任务总量、常态化活动开展频次、党建阵地建设需求、专项党建工作落地需要等核心因素，科学统筹、精准分配，保障经费分配公平合理、按需配比。切实保障日常党务工作、党员教育、主题活动、党建创新工作等各项工作有序开展，避免经费闲置浪费或经费不足影响党建工作推进的情况。</w:t>
      </w:r>
    </w:p>
    <w:p w14:paraId="5C520FB5">
      <w:pPr>
        <w:spacing w:before="380" w:after="140" w:line="288" w:lineRule="auto"/>
        <w:ind w:left="0"/>
        <w:jc w:val="center"/>
        <w:outlineLvl w:val="0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2" w:name="heading_2"/>
      <w:r>
        <w:rPr>
          <w:rFonts w:hint="eastAsia" w:asciiTheme="minorEastAsia" w:hAnsiTheme="minorEastAsia" w:eastAsiaTheme="minorEastAsia" w:cstheme="minorEastAsia"/>
          <w:b w:val="0"/>
          <w:bCs/>
          <w:sz w:val="36"/>
        </w:rPr>
        <w:t>第三章 经费使用范围</w:t>
      </w:r>
      <w:bookmarkEnd w:id="2"/>
    </w:p>
    <w:p w14:paraId="0B80D516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第五条 经费使用范畴</w:t>
      </w:r>
    </w:p>
    <w:p w14:paraId="4562961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党建工作经费严格限定用于本中心党建工作相关事项，不得挪作他用，具体使用范围主要包含四大类：一是党内组织生活开展支出。专项用于党组织“三会一课”、主题党日、组织生活会、民主评议党员、党内表彰评优等常态化党内活动开展所需物资、场地、物料等相关支出；二是党员教育培训支出。用于党员、入党积极分子、党建工作人员的政治理论学习、业务技能培训、专题讲座、研学学习、教材资料购置、培训师资聘请等相关费用；三是党建学习调研支出。用于党建课题调研、行业党建交流、基层党建走访学习、党建工作经验总结推广等调研交流相关支出；四是其他党建专项支出。包含党建宣传、党建阵地维护、党务办公用品购置、党建专项工作落实等其他合规党建相关支出。</w:t>
      </w:r>
    </w:p>
    <w:p w14:paraId="2F121522">
      <w:pPr>
        <w:spacing w:before="380" w:after="140" w:line="288" w:lineRule="auto"/>
        <w:ind w:left="0"/>
        <w:jc w:val="center"/>
        <w:outlineLvl w:val="0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3" w:name="heading_3"/>
      <w:r>
        <w:rPr>
          <w:rFonts w:hint="eastAsia" w:asciiTheme="minorEastAsia" w:hAnsiTheme="minorEastAsia" w:eastAsiaTheme="minorEastAsia" w:cstheme="minorEastAsia"/>
          <w:b w:val="0"/>
          <w:bCs/>
          <w:sz w:val="36"/>
        </w:rPr>
        <w:t>第四章 经费管理</w:t>
      </w:r>
      <w:bookmarkEnd w:id="3"/>
    </w:p>
    <w:p w14:paraId="3F78C736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第六条 年度计划预算管理</w:t>
      </w:r>
    </w:p>
    <w:p w14:paraId="57B72C8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本中心党建工作经费实行年度计划、预算化规范管理。每年年末，党组织结合下一年度党建工作重点任务、活动安排、培训计划、阵地建设需求等，科学编制下一年度党建经费使用年度计划及详细预算，明确经费使用项目、用途、金额、使用时段。预算方案编制完成后，按流程上报党委组织部门审核审批，经批复通过后方可执行。党建经费使用必须严格按照批准的年度计划和预算标准执行，严禁无预算开支、超预算超支、随意变更使用项目，确因工作需要调整预算的，需另行上报审批。</w:t>
      </w:r>
    </w:p>
    <w:p w14:paraId="7297393C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第七条 报销支付规范管理</w:t>
      </w:r>
    </w:p>
    <w:p w14:paraId="5288FD6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党建工作经费的报销、支付工作严格遵守国家财经制度、上级党建经费管理办法及本中心财务管理制度。所有经费支出均需凭合法合规、真实有效的票据报销，配套完善支出凭证、活动方案、台账记录、签到资料等佐证材料，做到账实相符、手续齐全、资料完备。财务部门对每一笔党建经费支出进行严格审核，不符合规定、手续不全、用途不符的支出一律不予报销支付，全面保障党建经费使用合规、流程规范、有据可查。</w:t>
      </w:r>
    </w:p>
    <w:p w14:paraId="129CB273">
      <w:pPr>
        <w:spacing w:before="380" w:after="140" w:line="288" w:lineRule="auto"/>
        <w:ind w:left="0"/>
        <w:jc w:val="center"/>
        <w:outlineLvl w:val="0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4" w:name="heading_4"/>
      <w:r>
        <w:rPr>
          <w:rFonts w:hint="eastAsia" w:asciiTheme="minorEastAsia" w:hAnsiTheme="minorEastAsia" w:eastAsiaTheme="minorEastAsia" w:cstheme="minorEastAsia"/>
          <w:b w:val="0"/>
          <w:bCs/>
          <w:sz w:val="36"/>
        </w:rPr>
        <w:t>第五章 监督检查</w:t>
      </w:r>
      <w:bookmarkEnd w:id="4"/>
    </w:p>
    <w:p w14:paraId="1BE3E7E7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第八条 常态化监督检查</w:t>
      </w:r>
    </w:p>
    <w:p w14:paraId="581D1718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上级党委组织部门为本中心党建工作经费使用的主要监督主体，负责对本中心党建经费年度预算执行、日常使用、台账管理、效益落地等情况开展常态化监督、定期检查与随机抽查。重点核查经费使用的合规性、合理性、真实性和有效性，及时排查整改经费管理使用中存在的问题，对违规使用、浪费经费的行为及时督促整改，严肃规范党建经费管理秩序。</w:t>
      </w:r>
    </w:p>
    <w:p w14:paraId="6FAEDC7B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第九条 定期报告与审计监督</w:t>
      </w:r>
    </w:p>
    <w:p w14:paraId="07A5C34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本中心党组织需建立党建经费定期报告制度，定期梳理汇总年度、阶段性党建经费收支、使用、结余情况，形成专项工作报告，如实上报党委组织部门。同时，主动接受上级审计部门及本中心内部财务审计监督，积极配合各类专项审计、督查检查工作，主动公开经费使用情况，自觉接受党员群众监督，确保党建经费管理透明、使用规范、监管到位。</w:t>
      </w:r>
    </w:p>
    <w:p w14:paraId="54EA0655">
      <w:pPr>
        <w:spacing w:before="380" w:after="140" w:line="288" w:lineRule="auto"/>
        <w:ind w:left="0"/>
        <w:jc w:val="center"/>
        <w:outlineLvl w:val="0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5" w:name="heading_5"/>
      <w:r>
        <w:rPr>
          <w:rFonts w:hint="eastAsia" w:asciiTheme="minorEastAsia" w:hAnsiTheme="minorEastAsia" w:eastAsiaTheme="minorEastAsia" w:cstheme="minorEastAsia"/>
          <w:b w:val="0"/>
          <w:bCs/>
          <w:sz w:val="36"/>
        </w:rPr>
        <w:t>第六章 附则</w:t>
      </w:r>
      <w:bookmarkEnd w:id="5"/>
    </w:p>
    <w:p w14:paraId="10B1E59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本制度由</w:t>
      </w:r>
      <w:r>
        <w:rPr>
          <w:rFonts w:hint="eastAsia" w:asciiTheme="minorEastAsia" w:hAnsiTheme="minorEastAsia" w:cstheme="minorEastAsia"/>
          <w:b w:val="0"/>
          <w:bCs/>
          <w:sz w:val="22"/>
          <w:lang w:eastAsia="zh-CN"/>
        </w:rPr>
        <w:t>杭州市临平区星创社会工作服务中心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上级党委组织部门负责最终解释。本制度自发布之日起正式施行，后续若上级政策法规、管理要求发生调整，将结合实际情况适时修订完善。</w:t>
      </w:r>
    </w:p>
    <w:p w14:paraId="0B5D12C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2"/>
        </w:rPr>
      </w:pPr>
    </w:p>
    <w:p w14:paraId="38012B19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2"/>
        </w:rPr>
      </w:pPr>
    </w:p>
    <w:p w14:paraId="216C88F7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2"/>
        </w:rPr>
      </w:pPr>
    </w:p>
    <w:p w14:paraId="01C1BC43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6" w:name="_GoBack"/>
      <w:bookmarkEnd w:id="6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75C0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C859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A7397"/>
    <w:rsid w:val="096C36E7"/>
    <w:rsid w:val="0BF01B2E"/>
    <w:rsid w:val="21A133DE"/>
    <w:rsid w:val="3BF75330"/>
    <w:rsid w:val="42B42E81"/>
    <w:rsid w:val="521C7446"/>
    <w:rsid w:val="572A5F32"/>
    <w:rsid w:val="6B9914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2410</Words>
  <Characters>2410</Characters>
  <TotalTime>2</TotalTime>
  <ScaleCrop>false</ScaleCrop>
  <LinksUpToDate>false</LinksUpToDate>
  <CharactersWithSpaces>2425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2026-07-01T03:08:00Z</dcterms:created>
  <dc:creator>Apache POI</dc:creator>
  <cp:lastModifiedBy>WPS_1717491118</cp:lastModifiedBy>
  <dcterms:modified xsi:type="dcterms:W3CDTF">2026-08-27T02:40:31Z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{"Label":"1","ContentProducer":"001191110102MACQD9K64010000","ProduceID":"7657391051095035118","ReservedCode1":"","ContentPropagator":"","PropagateID":"","ReservedCode2":""}</vt:lpwstr>
  </property>
  <property fmtid="{D5CDD505-2E9C-101B-9397-08002B2CF9AE}" pid="3" name="KSOTemplateDocerSaveRecord">
    <vt:lpwstr>eyJoZGlkIjoiNWRlODNkNzg4NWVkYjgyM2Y5Y2I4NDcwMmZlNGU5NWIiLCJ1c2VySWQiOiIxNjA0MjY5NTE1In0=</vt:lpwstr>
  </property>
  <property fmtid="{D5CDD505-2E9C-101B-9397-08002B2CF9AE}" pid="4" name="KSOProductBuildVer">
    <vt:lpwstr>2052-12.1.0.28043</vt:lpwstr>
  </property>
  <property fmtid="{D5CDD505-2E9C-101B-9397-08002B2CF9AE}" pid="5" name="ICV">
    <vt:lpwstr>C6FF89069D514E5C8E23FE688EA3F211_13</vt:lpwstr>
  </property>
</Properties>
</file>