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7EA0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/>
        <w:jc w:val="center"/>
        <w:textAlignment w:val="auto"/>
        <w:rPr>
          <w:rFonts w:hint="eastAsia" w:asciiTheme="minorEastAsia" w:hAnsiTheme="minorEastAsia" w:eastAsiaTheme="minorEastAsia" w:cstheme="minorEastAsia"/>
          <w:b w:val="0"/>
          <w:bCs/>
          <w:sz w:val="36"/>
          <w:szCs w:val="36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36"/>
          <w:szCs w:val="36"/>
        </w:rPr>
        <w:t>杭州市临平区星创社会工作服务中心岗位职责管理制度</w:t>
      </w:r>
    </w:p>
    <w:p w14:paraId="26BED7B2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第一章 总则</w:t>
      </w:r>
    </w:p>
    <w:p w14:paraId="57D6CFD1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第一条 制定目的与依据</w:t>
      </w:r>
    </w:p>
    <w:p w14:paraId="70466811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为进一步规范</w:t>
      </w:r>
      <w:r>
        <w:rPr>
          <w:rFonts w:hint="eastAsia" w:asciiTheme="minorEastAsia" w:hAnsiTheme="minorEastAsia" w:cstheme="minorEastAsia"/>
          <w:b w:val="0"/>
          <w:bCs/>
          <w:sz w:val="22"/>
          <w:lang w:eastAsia="zh-CN"/>
        </w:rPr>
        <w:t>杭州市临平区星创社会工作服务中心</w:t>
      </w: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（以下简称“中心”）岗位设置、岗位职责划分与人员履职管理，建立权责清晰、分工明确、履职规范、考核有据的岗位管理体系，杜绝岗位职责模糊、工作推诿、权责脱节等问题，全面提升机构运营效率与社会工作服务专业化水平。依据《中华人民共和国劳动法》《中华人民共和国劳动合同法》及中心《招聘管理制度》《员工任用制度》等相关人事管理制度，结合中心公益服务、项目运营、基层社工服务工作</w:t>
      </w:r>
      <w:r>
        <w:rPr>
          <w:rFonts w:hint="eastAsia" w:asciiTheme="minorEastAsia" w:hAnsiTheme="minorEastAsia" w:cstheme="minorEastAsia"/>
          <w:b w:val="0"/>
          <w:bCs/>
          <w:sz w:val="22"/>
          <w:lang w:eastAsia="zh-CN"/>
        </w:rPr>
        <w:t>实际，特制定</w:t>
      </w: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制度。</w:t>
      </w:r>
    </w:p>
    <w:p w14:paraId="5C21DAEA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第二条 适用范围</w:t>
      </w:r>
    </w:p>
    <w:p w14:paraId="6898E0FE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本制度适用于中心所有正式在岗员工、项目专职人员、返聘工作人员及纳入中心统一管理的各类岗位人员。中心所有岗位设置、职责界定、岗位履职、岗位调整、岗位考核、岗位撤销等相关管理工作，均严格遵照本制度执行。</w:t>
      </w:r>
    </w:p>
    <w:p w14:paraId="441302CF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第三条 岗位管理基本原则</w:t>
      </w:r>
    </w:p>
    <w:p w14:paraId="0CADD3ED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1. 按需设岗、精简高效：结合中心年度工作规划、项目服务需求、机构发展规模科学设置岗位，杜绝冗余岗位、虚设岗位，实现岗位配置与工作任务精准匹配。</w:t>
      </w:r>
    </w:p>
    <w:p w14:paraId="3164988E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2. 权责统一、分工明晰：所有岗位做到职责明确、权限清晰、责任到人，杜绝权责交叉、职责空白、推诿扯皮等现象，实现事事有人管、件件有着落。</w:t>
      </w:r>
    </w:p>
    <w:p w14:paraId="3562E0C2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3. 人岗相适、动态适配：结合员工专业能力、工作经验、综合素质合理配置岗位，根据机构业务发展、项目迭代、人员变动动态优化岗位设置与职责内容。</w:t>
      </w:r>
    </w:p>
    <w:p w14:paraId="0A682DFE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4. 履职尽责、依规考核：以岗位职责为核心依据，开展日常履职管理、月度季度考核、年度评优定级，将岗位履职情况与转正、调岗、薪酬、评优、续聘直接挂钩。</w:t>
      </w:r>
    </w:p>
    <w:p w14:paraId="155106D6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第二章 岗位设置与岗位权责管理</w:t>
      </w:r>
    </w:p>
    <w:p w14:paraId="13A1EBDA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第四条 岗位设置规范</w:t>
      </w:r>
    </w:p>
    <w:p w14:paraId="5F21F678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中心岗位设置结合机构组织架构、业务板块及社工服务属性，统一划分为管理岗、行政岗、项目运营岗、专业社工岗、辅助服务岗及特聘顾问岗六大类别，所有岗位统一纳入中心岗位台账管理，定岗定责、定编定员。岗位设置、新增、撤销、合并、调整均需履行审批流程，由行政人事部发起申请，经理事会及中心负责人审批后方可执行，严禁私自设岗、随意调岗。</w:t>
      </w:r>
    </w:p>
    <w:p w14:paraId="336A2E85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第五条 岗位职责说明书管理</w:t>
      </w:r>
    </w:p>
    <w:p w14:paraId="04FC37CB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中心实行一岗一说明书制度，行政人事部统一编制各岗位《岗位职责说明书》，明确各岗位岗位名称、隶属部门、岗位层级、任职条件、核心工作职责、工作权限、工作标准、协作关系、考核指标等核心内容。《岗位职责说明书》作为员工入职定岗、日常履职、岗位培训、考核评价、调岗晋升的法定依据，全员严格遵照执行。</w:t>
      </w:r>
    </w:p>
    <w:p w14:paraId="420187B5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第六条 核心岗位通用职责</w:t>
      </w:r>
    </w:p>
    <w:p w14:paraId="56F91569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1. 大局履职职责：全体员工须坚守机构利益至上原则，服从中心统一管理与工作部署，严格遵守机构各项规章制度，立足岗位履职尽责，主动维护中心公益形象与品牌声誉。</w:t>
      </w:r>
    </w:p>
    <w:p w14:paraId="452CADE4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2. 岗位本职职责：严格按照岗位说明书要求，保质保量完成本职工作、年度目标、项目任务及上级交办的各项工作，做到务实高效、严谨规范、闭环落实。</w:t>
      </w:r>
    </w:p>
    <w:p w14:paraId="15D358DB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3. 团队协作职责：主动配合部门内部、跨部门协同工作，互帮互助、补位补台，杜绝本位主义、推诿扯皮，保障机构整体工作有序推进。</w:t>
      </w:r>
    </w:p>
    <w:p w14:paraId="14121C1D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4. 学习提升职责：主动学习社会工作专业知识、项目运营技能、政策法规及业务知识，持续提升岗位履职能力与专业服务水平，适配岗位工作迭代需求。</w:t>
      </w:r>
    </w:p>
    <w:p w14:paraId="18A705C0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5. 合规自律职责：坚守职业道德与廉洁底线，依规开展各项工作，规范使用岗位权限，严禁利用岗位便利谋取私利，自觉爱护机构公共财物，厉行勤俭节约。</w:t>
      </w:r>
    </w:p>
    <w:p w14:paraId="753857E4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第三章 各部门核心岗位职责界定</w:t>
      </w:r>
    </w:p>
    <w:p w14:paraId="0445AC94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第七条 办公室岗位职责</w:t>
      </w:r>
    </w:p>
    <w:p w14:paraId="6DCEE89D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办公室为机构综合统筹、后勤保障、人事行政、内务管理核心部门，主要职责为：负责机构规章制度建设、公文起草、文件归档、会议组织、通知传达、印章管理；统筹人事招聘、入职转正、调岗离职、档案管理、培训组织等人事工作；负责日常后勤保障、物资管理、办公秩序维护、对外基础对接；统筹机构内务督查、纪律管理、资料汇总、年审报</w:t>
      </w:r>
      <w:r>
        <w:rPr>
          <w:rFonts w:hint="eastAsia" w:asciiTheme="minorEastAsia" w:hAnsiTheme="minorEastAsia" w:cstheme="minorEastAsia"/>
          <w:b w:val="0"/>
          <w:bCs/>
          <w:sz w:val="22"/>
          <w:lang w:eastAsia="zh-CN"/>
        </w:rPr>
        <w:t>备等</w:t>
      </w: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辅助工作；配合各业务部门开展服务保障、资料支撑与综合协调工作。</w:t>
      </w:r>
    </w:p>
    <w:p w14:paraId="5F0A7709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第八条 项目运营部岗位职责</w:t>
      </w:r>
    </w:p>
    <w:p w14:paraId="2E9292EA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项目运营部为机构公益服务、项目落地、品牌运营核心业务部门，主要职责为：承接机构发展使命与年度目标，负责各类社工服务项目、公益活动、志愿服务项目的策划、方案撰写、组织实施、落地执行与全程督导；负责项目进度管控、服务质量把控、服务台账整理、项目总结、成果提炼；对接社区、合作单位、媒体资源，搭建公益合作体系，传播社会工作公益理念；负责项目创新研发、服务模式优化、项目资源整合，助力机构服务能力与品牌影响力提升；配合完成项目检查、督导、评估、审计等相关工作。</w:t>
      </w:r>
    </w:p>
    <w:p w14:paraId="6F83BC2A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第九条 专业社工岗位职责</w:t>
      </w:r>
    </w:p>
    <w:p w14:paraId="3CB51F02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专业社工岗位立足基层服务一线，聚焦各类群体专业社工服务，主要职责为：开展个案、小组、社区等专业社会工作服务，对接服务对象需求，精准开展帮扶、疏导、支持、赋能服务；做好服务对象建档、访谈、记录、跟进、回访等常态化服务工作；严格按照项目指标完成服务频次、服务人数、服务任务；及时总结服务案例、梳理服务经验，参与专业培训与督导学习；坚守社工专业伦理，保护服务对象隐私，规范专业服务行为。</w:t>
      </w:r>
    </w:p>
    <w:p w14:paraId="15EDFC05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第十条 特聘顾问岗职责</w:t>
      </w:r>
    </w:p>
    <w:p w14:paraId="33CD62E6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特聘顾问及返聘专业人员主要负责机构专业指导、项目督导、业务答疑、经验支撑工作，协助中心提升项目专业性、规范性、落地质量；参与机构制度优化、服务研讨、人才培养、案例评审等工作，为机构长远发展提供专业支撑。</w:t>
      </w:r>
    </w:p>
    <w:p w14:paraId="6EB06A15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第四章 岗位履职管理要求</w:t>
      </w:r>
    </w:p>
    <w:p w14:paraId="367ED4EE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第十一条 定岗履职要求</w:t>
      </w:r>
    </w:p>
    <w:p w14:paraId="6C83C2B2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员工转正定岗后，须严格按照对应岗位职责说明书全面履职，不得擅自缺位、怠工、敷衍履职。工作中严格落实工作标准、时限要求、质量规范，做到事事有落实、件件有反馈，杜绝不作为、慢作为、乱作为现象。</w:t>
      </w:r>
    </w:p>
    <w:p w14:paraId="50C678DD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第十二条 岗位补位与协作要求</w:t>
      </w:r>
    </w:p>
    <w:p w14:paraId="1F9B9F5D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在日常工作及岗位人员休假、调岗、空缺期间，部门须提前做好工作交接与人员补位，确保岗位工作不断档、服务不缺位。跨部门协作工作由牵头部门统筹协调，配合部门主动履职、全力配合，杜绝推诿扯皮、消极应付。</w:t>
      </w:r>
    </w:p>
    <w:p w14:paraId="5E245F7E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第十三条 岗位禁止行为</w:t>
      </w:r>
    </w:p>
    <w:p w14:paraId="6FA31113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全体岗位人员严禁出现超越岗位权限违规操作、滥用岗位资源、消极怠工、敷衍履职、泄露机构机密与服务对象隐私、损害机构声誉等违规违纪行为；严禁擅自更改工作流程、私自对接业务、瞒报漏报工作问题，一经发现依规严肃处理。</w:t>
      </w:r>
    </w:p>
    <w:p w14:paraId="13E65F21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第五章 岗位调整、变更与交接管理</w:t>
      </w:r>
    </w:p>
    <w:p w14:paraId="0B0395EC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第十四条 岗位动态调整</w:t>
      </w:r>
    </w:p>
    <w:p w14:paraId="3F72F695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中心可根据业务拓展、项目增减、工作调整、人员能力适配情况，依规开展岗位晋升、降职、平级调动、岗位轮换等调整工作。岗位调整严格按照《员工任用制度》履行审批备案流程，调整后同步更新岗位职责、岗位权限、薪资待遇及档案信息。</w:t>
      </w:r>
    </w:p>
    <w:p w14:paraId="67B269F9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第十五条 岗位交接规范</w:t>
      </w:r>
    </w:p>
    <w:p w14:paraId="32DFEAC7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员工发生调岗、离职、休假、轮岗等岗位变动时，必须严格完成全面工作交接，包含工作资料、项目进度、业务资源、办公物资、</w:t>
      </w:r>
      <w:bookmarkStart w:id="0" w:name="_GoBack"/>
      <w:r>
        <w:rPr>
          <w:rFonts w:hint="eastAsia" w:asciiTheme="minorEastAsia" w:hAnsiTheme="minorEastAsia" w:cstheme="minorEastAsia"/>
          <w:b w:val="0"/>
          <w:bCs/>
          <w:sz w:val="22"/>
          <w:lang w:eastAsia="zh-CN"/>
        </w:rPr>
        <w:t>财务</w:t>
      </w:r>
      <w:bookmarkEnd w:id="0"/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事项、待办工作等全部内容，形成书面交接台账，经双方及部门负责人签字确认，确保岗位工作无缝衔接、平稳过渡。未完成交接的，不予办结调岗、离职等相关手续。</w:t>
      </w:r>
    </w:p>
    <w:p w14:paraId="4C0CEA54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第六章 岗位履职考核与奖惩</w:t>
      </w:r>
    </w:p>
    <w:p w14:paraId="35B18A9E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第十六条 岗位考核依据</w:t>
      </w:r>
    </w:p>
    <w:p w14:paraId="48B84600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中心以本制度及各岗位《岗位职责说明书》为核心考核依据，将员工岗位履职情况纳入日常考核、月度考核、季度考核及年度综合考评，考核结果作为员工转正、评优、加薪、晋升、续聘、辞退的重要依据。</w:t>
      </w:r>
    </w:p>
    <w:p w14:paraId="25A7B71E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第十七条 履职奖惩机制</w:t>
      </w:r>
    </w:p>
    <w:p w14:paraId="16023A94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员工严格履职、表现优秀、成效突出的，中心予以表彰、评优、绩效奖励、优先晋升；员工长期履职不到位、工作拖沓、多次未完成岗位任务、违反岗位履职规范的，予以约谈提醒、限期整改、绩效扣分；情节严重、影响项目推进、损害机构利益的，依规予以调岗、降职、解聘处理。</w:t>
      </w:r>
    </w:p>
    <w:p w14:paraId="0C1D0E96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第七章 附则</w:t>
      </w:r>
    </w:p>
    <w:p w14:paraId="2DDE51A3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第十八条 制度衔接</w:t>
      </w:r>
    </w:p>
    <w:p w14:paraId="2187BC45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本制度与中心《招聘管理制度》《员工任用制度》《绩效考核制度》等人事制度配套执行，凡本制度未明确的岗位管理事项，按照国家法律法规及中心现有管理制度执行。</w:t>
      </w:r>
    </w:p>
    <w:p w14:paraId="6CFE8A0E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第十九条 制度解释与修订</w:t>
      </w:r>
    </w:p>
    <w:p w14:paraId="27D5E613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本制度由</w:t>
      </w:r>
      <w:r>
        <w:rPr>
          <w:rFonts w:hint="eastAsia" w:asciiTheme="minorEastAsia" w:hAnsiTheme="minorEastAsia" w:cstheme="minorEastAsia"/>
          <w:b w:val="0"/>
          <w:bCs/>
          <w:sz w:val="22"/>
          <w:lang w:eastAsia="zh-CN"/>
        </w:rPr>
        <w:t>杭州市临平区星创社会工作服务中心</w:t>
      </w: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行政人事部负责日常解释、监督执行与动态修订。</w:t>
      </w:r>
    </w:p>
    <w:p w14:paraId="7B3E765B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第二十条 生效日期</w:t>
      </w:r>
    </w:p>
    <w:p w14:paraId="3DF9E65E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  <w:sz w:val="22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本制度自发布之日起正式施行，原有相关岗位管理规定与本制度不一致的，以本制度为准。</w:t>
      </w:r>
    </w:p>
    <w:p w14:paraId="7F190578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  <w:sz w:val="22"/>
        </w:rPr>
      </w:pPr>
    </w:p>
    <w:p w14:paraId="3E4023DE">
      <w:pPr>
        <w:spacing w:before="120" w:after="120" w:line="288" w:lineRule="auto"/>
        <w:ind w:left="0"/>
        <w:jc w:val="right"/>
        <w:rPr>
          <w:rFonts w:hint="eastAsia" w:asciiTheme="minorEastAsia" w:hAnsiTheme="minorEastAsia" w:eastAsiaTheme="minorEastAsia" w:cstheme="minorEastAsia"/>
          <w:b w:val="0"/>
          <w:bCs/>
          <w:sz w:val="22"/>
        </w:rPr>
      </w:pPr>
    </w:p>
    <w:p w14:paraId="7C7463ED">
      <w:pPr>
        <w:spacing w:before="120" w:after="120" w:line="288" w:lineRule="auto"/>
        <w:ind w:left="0"/>
        <w:jc w:val="righ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cstheme="minorEastAsia"/>
          <w:b w:val="0"/>
          <w:bCs/>
          <w:sz w:val="22"/>
          <w:lang w:eastAsia="zh-CN"/>
        </w:rPr>
        <w:t>杭州市临平区星创社会工作服务中心</w:t>
      </w:r>
    </w:p>
    <w:p w14:paraId="6AFF2700">
      <w:pPr>
        <w:spacing w:before="120" w:after="120" w:line="288" w:lineRule="auto"/>
        <w:ind w:left="0"/>
        <w:jc w:val="right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>年</w:t>
      </w:r>
      <w:r>
        <w:rPr>
          <w:rFonts w:hint="eastAsia" w:asciiTheme="minorEastAsia" w:hAnsiTheme="minorEastAsia" w:eastAsiaTheme="minorEastAsia" w:cstheme="minorEastAsia"/>
          <w:b w:val="0"/>
          <w:bCs/>
          <w:sz w:val="22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 xml:space="preserve"> 月</w:t>
      </w:r>
      <w:r>
        <w:rPr>
          <w:rFonts w:hint="eastAsia" w:asciiTheme="minorEastAsia" w:hAnsiTheme="minorEastAsia" w:eastAsiaTheme="minorEastAsia" w:cstheme="minorEastAsia"/>
          <w:b w:val="0"/>
          <w:bCs/>
          <w:sz w:val="22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b w:val="0"/>
          <w:bCs/>
          <w:sz w:val="22"/>
        </w:rPr>
        <w:t xml:space="preserve"> 日</w:t>
      </w:r>
    </w:p>
    <w:p w14:paraId="6F59A561">
      <w:pPr>
        <w:spacing w:before="120" w:after="120" w:line="288" w:lineRule="auto"/>
        <w:ind w:left="0"/>
        <w:jc w:val="left"/>
        <w:rPr>
          <w:rFonts w:hint="eastAsia" w:asciiTheme="minorEastAsia" w:hAnsiTheme="minorEastAsia" w:eastAsiaTheme="minorEastAsia" w:cstheme="minorEastAsia"/>
          <w:b w:val="0"/>
          <w:bCs/>
        </w:rPr>
      </w:pPr>
    </w:p>
    <w:sectPr>
      <w:headerReference r:id="rId3" w:type="default"/>
      <w:footerReference r:id="rId4" w:type="default"/>
      <w:pgSz w:w="11905" w:h="16840"/>
      <w:pgMar w:top="1440" w:right="1463" w:bottom="1440" w:left="1463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34DFB5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81BBE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C00359"/>
    <w:rsid w:val="23381F9A"/>
    <w:rsid w:val="46F848FC"/>
    <w:rsid w:val="76C642C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3e6dac12-349c-4631-9dfb-9774b01869c9</errorID>
      <errorWord>实际，特制定本</errorWord>
      <group>L1_Word</group>
      <groupName>字词问题</groupName>
      <ability>L2_Typo</ability>
      <abilityName>字词错误</abilityName>
      <candidateList>
        <item>实际，特制定</item>
      </candidateList>
      <explain/>
      <paraID>70466811</paraID>
      <start>204</start>
      <end>210</end>
      <status>modified</status>
      <modifiedWord>实际，特制定</modifiedWord>
      <trackRevisions>false</trackRevisions>
    </reviewItem>
    <reviewItem>
      <errorID>259133ea-0654-42c8-bec2-4547f1ae2956</errorID>
      <errorWord>备</errorWord>
      <group>L1_Word</group>
      <groupName>字词问题</groupName>
      <ability>L2_Typo</ability>
      <abilityName>字词错误</abilityName>
      <candidateList>
        <item>备等</item>
      </candidateList>
      <explain/>
      <paraID>6DCEE89D</paraID>
      <start>154</start>
      <end>156</end>
      <status>modified</status>
      <modifiedWord>备等</modifiedWord>
      <trackRevisions>false</trackRevisions>
    </reviewItem>
    <reviewItem>
      <errorID>8c5136ea-b489-4adc-80da-2f4458f6827a</errorID>
      <errorWord>账务</errorWord>
      <group>L1_Word</group>
      <groupName>字词问题</groupName>
      <ability>L2_Typo</ability>
      <abilityName>字词错误</abilityName>
      <candidateList>
        <item>财务</item>
      </candidateList>
      <explain/>
      <paraID>32DFEAC7</paraID>
      <start>57</start>
      <end>59</end>
      <status>modified</status>
      <modifiedWord>财务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f591e38-e156-416a-b097-600b49fbeb8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3172</Words>
  <Characters>3181</Characters>
  <TotalTime>13</TotalTime>
  <ScaleCrop>false</ScaleCrop>
  <LinksUpToDate>false</LinksUpToDate>
  <CharactersWithSpaces>3225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2026-08-22T09:43:00Z</dcterms:created>
  <dc:creator>Apache POI</dc:creator>
  <cp:lastModifiedBy>大王妮妮</cp:lastModifiedBy>
  <cp:lastPrinted>2026-10-29T10:31:43Z</cp:lastPrinted>
  <dcterms:modified xsi:type="dcterms:W3CDTF">2026-10-29T10:34:45Z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{"Label":"1","ContentProducer":"001191110102MACQD9K64010000","ProduceID":"7676789307105414355","ReservedCode1":"","ContentPropagator":"","PropagateID":"","ReservedCode2":""}</vt:lpwstr>
  </property>
  <property fmtid="{D5CDD505-2E9C-101B-9397-08002B2CF9AE}" pid="3" name="KSOTemplateDocerSaveRecord">
    <vt:lpwstr>eyJoZGlkIjoiNTI4MjYyNDBiYmRmYzAwYWQ3NjY5ZmU0NGE4NWU2NjUiLCJ1c2VySWQiOiI1MTU0MzU0MzEifQ==</vt:lpwstr>
  </property>
  <property fmtid="{D5CDD505-2E9C-101B-9397-08002B2CF9AE}" pid="4" name="KSOProductBuildVer">
    <vt:lpwstr>2052-12.1.0.28043</vt:lpwstr>
  </property>
  <property fmtid="{D5CDD505-2E9C-101B-9397-08002B2CF9AE}" pid="5" name="ICV">
    <vt:lpwstr>F6B767CF9C1246A1ACB129FC3A1BA764_13</vt:lpwstr>
  </property>
</Properties>
</file>