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BB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288" w:lineRule="auto"/>
        <w:ind w:left="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52"/>
          <w:lang w:eastAsia="zh-CN"/>
        </w:rPr>
      </w:pPr>
      <w:r>
        <w:rPr>
          <w:rFonts w:hint="eastAsia" w:asciiTheme="minorEastAsia" w:hAnsiTheme="minorEastAsia" w:cstheme="minorEastAsia"/>
          <w:b w:val="0"/>
          <w:bCs/>
          <w:sz w:val="52"/>
          <w:lang w:eastAsia="zh-CN"/>
        </w:rPr>
        <w:t>杭州市临平区星创社会工作服务中心</w:t>
      </w:r>
    </w:p>
    <w:p w14:paraId="1A63A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288" w:lineRule="auto"/>
        <w:ind w:left="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52"/>
        </w:rPr>
        <w:t>财务管理制度</w:t>
      </w:r>
    </w:p>
    <w:p w14:paraId="058783F8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0" w:name="heading_0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第一章 总则</w:t>
      </w:r>
      <w:bookmarkEnd w:id="0"/>
    </w:p>
    <w:p w14:paraId="15BAAD89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第一条 为进一步规范</w:t>
      </w:r>
      <w:r>
        <w:rPr>
          <w:rFonts w:hint="eastAsia" w:asciiTheme="minorEastAsia" w:hAnsiTheme="minorEastAsia" w:cstheme="minorEastAsia"/>
          <w:b w:val="0"/>
          <w:bCs/>
          <w:sz w:val="22"/>
          <w:lang w:eastAsia="zh-CN"/>
        </w:rPr>
        <w:t>杭州市临平区星创社会工作服务中心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（以下简称“本中心”）财务行为，加强财务管理和内部控制，规范财务收支流程，提升资金使用效益，保障本中心各项公益服务及业务工作健康有序开展，依据《中华人民共和国会计法》《民间非营利组织会计制度》《会计基础工作规范》《会计档案管理办法》等法律法规及本中心章程，结合本中心实际运营情况，特制定本制度。</w:t>
      </w:r>
    </w:p>
    <w:p w14:paraId="7278319B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第二条 本中心财务管理严格遵循合法合规、诚信自律、尊重捐赠意愿、节约高效、公开透明、专款专用的原则，坚持公益属性，规范资金管理，保障社会组织财务运行规范、安全、可控。</w:t>
      </w:r>
    </w:p>
    <w:p w14:paraId="3F1CB62D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第三条 本中心会计核算严格执行《民间非营利组织会计制度》，所有财务活动、账务处理、收支核算、档案管理均按照制度标准执行。</w:t>
      </w:r>
    </w:p>
    <w:p w14:paraId="3F410760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1" w:name="heading_1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第二章 财务人员设置</w:t>
      </w:r>
      <w:bookmarkEnd w:id="1"/>
    </w:p>
    <w:p w14:paraId="05911AE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第四条 本中心账务代理工作由杭州全道企业管理咨询有限公司承接，中心内设专职出纳一名。出纳岗位在保证不相容职务分离的前提下，可兼任部分非财务类辅助工作，严格规避出纳兼审核、出纳兼记账等违规岗位兼任情况。</w:t>
      </w:r>
    </w:p>
    <w:p w14:paraId="7471F49F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第五条 财务岗位职责严格按照本中心《会计岗位职责》《出纳岗位职责》执行，明确岗位权限、工作内容及责任边界。</w:t>
      </w:r>
    </w:p>
    <w:p w14:paraId="0D24886C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第六条 财务人员开展财务工作必须坚持原则、依规履职、廉洁自律。对不符合财经纪律、违反财务制度、审批手续不全、票据不合规的支出事项，有权予以退回、拒绝付款、拒绝入账执行。</w:t>
      </w:r>
    </w:p>
    <w:p w14:paraId="3918523E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2" w:name="heading_2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第三章 货币资金管理</w:t>
      </w:r>
      <w:bookmarkEnd w:id="2"/>
    </w:p>
    <w:p w14:paraId="36C0C060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第七条 本中心严格限定现金使用范围，仅在国家财经法规允许的开支范围内使用现金，严禁白条抵库、坐支现金、违规套现等行为。</w:t>
      </w:r>
    </w:p>
    <w:p w14:paraId="32F16637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第八条 日常费用支出优先采用银行转账方式结算，严控现金使用频次与金额，确保每笔资金流向可追溯、可复核、可核查。</w:t>
      </w:r>
    </w:p>
    <w:p w14:paraId="06330B68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第九条 本中心库存现金实行限额管理，日常库存现金余额不得超过2000元，超出限额部分须及时存入银行对公账户。</w:t>
      </w:r>
    </w:p>
    <w:p w14:paraId="35D8A4BB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第十条 银行账户实行印鉴、U盾分离保管制度，网银支付U盾、授权U盾、银行预留印鉴分开专人保管，形成岗位相互制约、相互监督机制，杜绝单人全权操控资金。</w:t>
      </w:r>
    </w:p>
    <w:p w14:paraId="6321349C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第十一条 出纳定期开展现金盘点、银行对账工作，确保账实相符、账账相符、账证相符。中心指定专人定期参与资金盘查，对发现的账实不符、账务异常问题及时核查、溯源、整改，确保资金安全。</w:t>
      </w:r>
    </w:p>
    <w:p w14:paraId="426A45EA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3" w:name="heading_3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第四章 财务印章、支票、收据管理</w:t>
      </w:r>
      <w:bookmarkEnd w:id="3"/>
    </w:p>
    <w:p w14:paraId="66ADDD7C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第十二条 财务专用章、支票由出纳专人保管；银行预留法人私章、支票密码由机构负责人专人保管，严格执行印章分离保管制度，杜绝一人保管全套印鉴。</w:t>
      </w:r>
    </w:p>
    <w:p w14:paraId="08455644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第十三条 本中心收款票据包含公益事业捐赠票据、税务发票、通用三联收据，统一归口财务规范管理。票据开具严格遵守《公益事业捐赠票据使用管理暂行办法》《中华人民共和国发票管理办法》等规定。</w:t>
      </w:r>
    </w:p>
    <w:p w14:paraId="5DA9F147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第十四条 所有收据、发票开具必须规范签字、加盖财务专用章方可生效。中心所有收入必须据实开具合规票据，不得隐瞒收入、不开票入账。捐赠人无需票据的，仍需正常开具票据，将票据联次统一归档留存。</w:t>
      </w:r>
    </w:p>
    <w:p w14:paraId="210C8C7B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第十五条 填写错误的票据严禁私自撕毁、丢弃，必须三联齐全统一标注“作废”留存归档。票据使用完毕后，财务人员逐份核查票号、内容、金额、联次完整性，确认无误后整理归档，按财政部门要求办理缴销手续。</w:t>
      </w:r>
    </w:p>
    <w:p w14:paraId="6C05DE92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4" w:name="heading_4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第五章 费用支出报销管理规定</w:t>
      </w:r>
      <w:bookmarkEnd w:id="4"/>
    </w:p>
    <w:p w14:paraId="78B8D110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第十六条 本中心所有费用支出实行审批制度，常规支出由机构负责人或授权责任人审批；机构负责人本人经手的费用支出，须由理事会审批，杜绝自审自批。</w:t>
      </w:r>
    </w:p>
    <w:p w14:paraId="1D14187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第十七条 费用报销统一执行以下审批流程：</w:t>
      </w:r>
    </w:p>
    <w:p w14:paraId="70558C3F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1. 经手人规范填写《费用报销单》，清晰注明支出事由、用途、数量、金额、时间，完成签字确认，将原始票据规范粘贴；有证明人的需证明人同步签字确认。</w:t>
      </w:r>
    </w:p>
    <w:p w14:paraId="69C8D886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2. 提交项目负责人复核，重点审核支出用途、项目归属、预算匹配度、是否超预算、是否超范围，复核无误后签字确认。</w:t>
      </w:r>
    </w:p>
    <w:p w14:paraId="7CB2B8EA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3. 报机构负责人或授权责任人终审审批。</w:t>
      </w:r>
    </w:p>
    <w:p w14:paraId="3724D446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4. 审批完成后交由出纳审核票据合规性、金额准确性、手续完整性，审核无误后方可办理付款；对不合规票据、违规支出，出纳有权退回或拒绝报销。</w:t>
      </w:r>
    </w:p>
    <w:p w14:paraId="57B619CB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5. 出纳每月集中1-2次统一办理报销业务，节假日顺延。</w:t>
      </w:r>
    </w:p>
    <w:p w14:paraId="22592623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第十八条 报销单据填写必须规范、整洁、准确，报销单内容与原始票据信息完全一致。大小写金额必须相符，金额书写规范，数字前标注人民币符号，金额末尾规范加注“整”字，数字与符号之间无空隙，杜绝涂改、潦草、错填。</w:t>
      </w:r>
    </w:p>
    <w:p w14:paraId="71E1D114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第十九条 原始票据及报销附件规范要求：</w:t>
      </w:r>
    </w:p>
    <w:p w14:paraId="5343CFB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1. 所有支出必须取得真实、合法、有效的原始票据，票据抬头必须为本中心完整全称及对应税号。</w:t>
      </w:r>
    </w:p>
    <w:p w14:paraId="4FE01AF7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2. 报销票据含发票、收费收据、捐赠票据、消费明细、结算清单、银行回单等，所有网银支付必须附带银行回单作为报销佐证。</w:t>
      </w:r>
    </w:p>
    <w:p w14:paraId="12178BD1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3. 住宿、会议类支出，发票信息不全的须附酒店结算流水单，详细注明入住天数、房间数、单价、人员信息。</w:t>
      </w:r>
    </w:p>
    <w:p w14:paraId="2346003C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4. 大型活动餐费报销须同步提供活动签到表，佐证用餐人数及活动真实性。</w:t>
      </w:r>
    </w:p>
    <w:p w14:paraId="2F2268A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5. 交通费报销须注明出行事由、起止地点。公共交通优先选择高铁二等座、火车硬卧/硬座、飞机经济舱，升级出行须提前报备负责人审批。市内交通凭票实报实销，网约车、出租车需备注行程事由；自带车可报销过路费、停车费，燃油补贴参照本地公务标准执行。</w:t>
      </w:r>
    </w:p>
    <w:p w14:paraId="60754FFA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6. 办公用品、物资材料报销须附购物小票、物品明细清单，注明品名、数量、单价、金额。</w:t>
      </w:r>
    </w:p>
    <w:p w14:paraId="1B44DA4D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7. 专家劳务、志愿者补贴现金发放须制作规范领款清单，注明姓名、标准、联系方式、身份证号，依法申报个税，由本人亲笔签字领取，严禁他人代领；银行转账以转账凭证为依据。</w:t>
      </w:r>
    </w:p>
    <w:p w14:paraId="0BBA770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8. 志愿者补贴标准：每日不超过100元（当日有效服务时长不低于6小时），发放补贴后不得重复报销当日餐费、交通费及其他劳务补贴。</w:t>
      </w:r>
    </w:p>
    <w:p w14:paraId="6AB6258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9. 讲课费标准（税后）：中级及以下职称每学时最高300元；副高级职称每学时最高500元；正高级职称每学时最高1000元；院士及全国知名专家每学时最高1500元；半天授课最多按4学时核算。</w:t>
      </w:r>
    </w:p>
    <w:p w14:paraId="6DECDBA5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10. 专家咨询费标准（税后）：中级及以下500元/天；副高级800元/天；正高级1600元/天；院士、知名专家2400元/天。</w:t>
      </w:r>
    </w:p>
    <w:p w14:paraId="1D4FA7A8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11. 临时聘用人员劳务费标准：240元/天或30元/小时，仅限具备专业服务能力的临时从业人员。</w:t>
      </w:r>
    </w:p>
    <w:p w14:paraId="4AB88768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12. 特殊无票支出：收款方无法开具正规发票的，须加盖对方公章的收据并注明收款人信息、事由；确实无法取得任何票据的，可使用中心自制《领款单》，由收款人、经办人、证明人签字确认，详细备注事由，确保支出真实可查。</w:t>
      </w:r>
    </w:p>
    <w:p w14:paraId="0166D510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13. 票据遗失原则上不予报销，特殊情况须经负责人专项审批。</w:t>
      </w:r>
    </w:p>
    <w:p w14:paraId="44A51325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5" w:name="heading_5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第六章 借款制度</w:t>
      </w:r>
      <w:bookmarkEnd w:id="5"/>
    </w:p>
    <w:p w14:paraId="0D6F8EA6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第二十条 因公借款须填写正式借款单，注明借款事由、金额、用途、还款时间，经机构负责人审批后方可出款。</w:t>
      </w:r>
    </w:p>
    <w:p w14:paraId="21B57111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第二十一条 严格执行“旧账不清、新账不借”原则，前次借款未结清、未核销的，不予再次借款。</w:t>
      </w:r>
    </w:p>
    <w:p w14:paraId="1EBAD6E2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6" w:name="heading_6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第七章 财务交接管理</w:t>
      </w:r>
      <w:bookmarkEnd w:id="6"/>
    </w:p>
    <w:p w14:paraId="3BAEBBBC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第二十二条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财务人员岗位变动、离职、调岗必须完成全套财务交接手续，交接内容包含：未办结账务处理、凭证报表整理、账目核对、印鉴票据、财务系统账号密码、电子及纸质档案等，完整编制《财务移交清册》。</w:t>
      </w:r>
    </w:p>
    <w:p w14:paraId="60E29EE1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第二十三条 出纳交接必须完成现金盘点、银行对账，确保账实完全相符，所有账务问题处理完毕后方可移交。</w:t>
      </w:r>
    </w:p>
    <w:p w14:paraId="4915145F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第二十四条 移交资料一式三份，交接双方各执一份，中心存档一份，交接签字确认后生效。</w:t>
      </w:r>
    </w:p>
    <w:p w14:paraId="6A798BBB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7" w:name="heading_7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第八章 财务监督与信息公开</w:t>
      </w:r>
      <w:bookmarkEnd w:id="7"/>
    </w:p>
    <w:p w14:paraId="2641B6DA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第二十五条 本中心严格落实社会组织年度审计制度，每年委托第三方会计师事务所开展年度财务审计，确保财务运行合规透明。</w:t>
      </w:r>
    </w:p>
    <w:p w14:paraId="25243BF7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第二十六条 主动接受捐赠方、资助单位、民政、财政等主管部门的专项检查、审计监督，如实提供财务资料，保障公益资金使用公开、公正、可信。</w:t>
      </w:r>
    </w:p>
    <w:p w14:paraId="72B4A193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8" w:name="heading_8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第九章 财务预算制度</w:t>
      </w:r>
      <w:bookmarkEnd w:id="8"/>
    </w:p>
    <w:p w14:paraId="241BE944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第二十七条 中心年度财务预算由理事会结合年度工作计划统筹编制，明确各项目收支计划，经理事会审议通过后严格执行。单次2万元及以上重大开支须由理事会专项审议决策。无预算、未经审批的项目原则上不得开支，特殊紧急支出须履行追加预算及补审批流程。</w:t>
      </w:r>
    </w:p>
    <w:p w14:paraId="1362A200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9" w:name="heading_9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第十章 投资管理制度</w:t>
      </w:r>
      <w:bookmarkEnd w:id="9"/>
    </w:p>
    <w:p w14:paraId="796C257F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第二十八条 对外投资严格遵循合法合规、安全稳健、不影响主营业务开展的原则，仅限与本中心公益服务宗旨相符的合规领域。</w:t>
      </w:r>
    </w:p>
    <w:p w14:paraId="5A526BC1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第二十九条 所有对外投资须经财务可行性调研评估，提交理事会表决通过后方可实施。</w:t>
      </w:r>
    </w:p>
    <w:p w14:paraId="016BB776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10" w:name="heading_10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第十一章 实物资产管理</w:t>
      </w:r>
      <w:bookmarkEnd w:id="10"/>
    </w:p>
    <w:p w14:paraId="0A263AD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第三十条 本中心固定资产定义为：使用年限一年以上、单位价值1000元以上、保持原有实物形态的资产。固定资产分为房屋建筑物、办公家具、空调设备、计算机网络设备、音像设备、交通运输设备、通信设备、其他设备八类，按规定折旧年限计提折旧。</w:t>
      </w:r>
    </w:p>
    <w:p w14:paraId="02737575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第三十一条 低值易耗品按实际发生金额一次性计入当期成本或管理费用。</w:t>
      </w:r>
    </w:p>
    <w:p w14:paraId="5E408DD6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第三十二条 固定资产购入验收后统一编号、登记造册，建立固定资产台账，实现一物一号、台账清晰、动态管理。</w:t>
      </w:r>
    </w:p>
    <w:p w14:paraId="00C7288B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11" w:name="heading_11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第十二章 会计档案管理</w:t>
      </w:r>
      <w:bookmarkEnd w:id="11"/>
    </w:p>
    <w:p w14:paraId="78DB99A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第三十三条 会计档案包含会计凭证、会计账簿、财务报表、辅助台账、备查资料等，是机构财务核算的重要档案资料。</w:t>
      </w:r>
    </w:p>
    <w:p w14:paraId="7877187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第三十四条 财务人员按年度整理、装订、立卷、归档，编制会计档案保管清册。</w:t>
      </w:r>
    </w:p>
    <w:p w14:paraId="3136030B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第三十五条 会计档案实行专人专管，出纳不得兼任会计档案保管工作。</w:t>
      </w:r>
    </w:p>
    <w:p w14:paraId="7AC7E615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第三十六条 会计档案存放有序、规范整洁、便于查阅，严格落实档案保管安全制度。</w:t>
      </w:r>
    </w:p>
    <w:p w14:paraId="61DCABDF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第三十七条 会计档案分为永久保存与定期保存两类，严格按照档案管理年限执行保管、查阅、销毁流程。</w:t>
      </w:r>
    </w:p>
    <w:p w14:paraId="015A0EF0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12" w:name="heading_12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第十三章 财务报表制度</w:t>
      </w:r>
      <w:bookmarkEnd w:id="12"/>
    </w:p>
    <w:p w14:paraId="23D7FD07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第三十八条 财务专人负责报表编制工作，按季度出具财务报表，报送理事会审阅。所有项目收入及时入账、及时填报，确保账表一致、账账一致、账款一致，因人为失误造成损失的由经办人承担相应责任。</w:t>
      </w:r>
    </w:p>
    <w:p w14:paraId="4B937826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13" w:name="heading_13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第十四章 项目收支专项管理制度</w:t>
      </w:r>
      <w:bookmarkEnd w:id="13"/>
    </w:p>
    <w:p w14:paraId="1EE5B73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第三十九条 收入分类管理：严格区分限定性收入与非限定性收入，分项目独立核算。所有项目收入据实开具合规票据，及时入账，严禁账外资金、体外循环、私设小金库。</w:t>
      </w:r>
    </w:p>
    <w:p w14:paraId="302C7D30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第四十条 收入确认规范：限定性收入严格按照协议约定的用途、范围、期限执行；资金到账后及时入账，精准匹配对应项目。</w:t>
      </w:r>
    </w:p>
    <w:p w14:paraId="2DB9A7C5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第四十一条 项目支出遵循“三对应、一合规”原则：项目对应、金额对应、时间对应、票据合规。严禁超预算、超范围、超期限列支项目费用，严禁挤占、挪用项目资金。</w:t>
      </w:r>
    </w:p>
    <w:p w14:paraId="0B12085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第四十二条 项目支出实行分级审批，小额支出由项目负责人审批，大额支出（5000元以上）由机构负责人或理事会审批，审批通过后方可支付记账。</w:t>
      </w:r>
    </w:p>
    <w:p w14:paraId="64686713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第四十三条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各项目单独建账、独立核算，按月形成项目收支台账，清晰反映收入、支出、结余情况，确保全程可追溯。</w:t>
      </w:r>
    </w:p>
    <w:p w14:paraId="4A2D36E4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第四十四条 建立双重监督机制：财务每月自查、季度抽查；按要求接受资助方、第三方、主管部门审计监督，及时公开项目资金使用情况。</w:t>
      </w:r>
    </w:p>
    <w:p w14:paraId="570D7435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第四十五条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项目结余严格按协议及制度处理：限定性结余按要求结转或退回；非限定性结余需经理事会审议后方可用于公益业务，并在年报中披露。</w:t>
      </w:r>
    </w:p>
    <w:p w14:paraId="40D2FD64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14" w:name="heading_14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第十五章 捐赠管理制度</w:t>
      </w:r>
      <w:bookmarkEnd w:id="14"/>
    </w:p>
    <w:p w14:paraId="49691BA1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第四十六条 本中心接受社会捐赠严格遵守《慈善法》相关规定，尊重捐赠人意愿，规范签订捐赠协议，严禁指定利害关系人为受益人。规范捐赠票据开具、物资计价、入账登记工作，匿名捐赠、放弃票据捐赠均完整留存记录，做到捐赠有据、入账合规、使用透明。</w:t>
      </w:r>
    </w:p>
    <w:p w14:paraId="325B628F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15" w:name="heading_15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第十六章 财务报表编制与分析</w:t>
      </w:r>
      <w:bookmarkEnd w:id="15"/>
    </w:p>
    <w:p w14:paraId="4345A1D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第四十七条 严格规范编制资产负债表、业务活动表、现金流量表及报表附注，保证数据真实、完整、准确、勾稽关系正确，规范区分限定性与非限定性净资产，准确结转年度收支。</w:t>
      </w:r>
    </w:p>
    <w:p w14:paraId="53F7941F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第四十八条 定期开展财务分析，从合规性、运营效率、可持续性三方面评估机构财务状况，优化收入结构、严控管理费用、提升公益资金使用效率，防范财务风险。</w:t>
      </w:r>
    </w:p>
    <w:p w14:paraId="3EA80061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16" w:name="heading_16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第十七章 票据管理制度</w:t>
      </w:r>
      <w:bookmarkEnd w:id="16"/>
    </w:p>
    <w:p w14:paraId="0435E079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第四十九条 票据实行专人管理、领用登记制度，建立《票据领用登记簿》，详细记录票号、数量、用途、领用人信息，严禁转借、私用票据。</w:t>
      </w:r>
    </w:p>
    <w:p w14:paraId="0420E03B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第五十条 票据据实开具，不得虚开、涂改、跳号，作废票据全联留存标注。</w:t>
      </w:r>
    </w:p>
    <w:p w14:paraId="6DF241DD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第五十一条 空白票据妥善保管，已使用票据按月归档，严格执行保管、销毁制度。</w:t>
      </w:r>
    </w:p>
    <w:p w14:paraId="3441F5D0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第五十二条 财务每月核查票据使用、开票金额、入账金额，杜绝票据违规使用问题。</w:t>
      </w:r>
    </w:p>
    <w:p w14:paraId="75F8FA9F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17" w:name="heading_17"/>
      <w:r>
        <w:rPr>
          <w:rFonts w:hint="eastAsia" w:asciiTheme="minorEastAsia" w:hAnsiTheme="minorEastAsia" w:eastAsiaTheme="minorEastAsia" w:cstheme="minorEastAsia"/>
          <w:b w:val="0"/>
          <w:bCs/>
          <w:sz w:val="32"/>
        </w:rPr>
        <w:t>第十八章 附则</w:t>
      </w:r>
      <w:bookmarkEnd w:id="17"/>
    </w:p>
    <w:p w14:paraId="4EBC86F4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第五十三条 本制度经本中心理事会审议通过，自发布次日起正式执行。</w:t>
      </w:r>
    </w:p>
    <w:p w14:paraId="17A12A2D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  <w:sz w:val="2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第五十四条 本制度由本中心财务部负责解释，制度未尽事宜及争议事项以理事会最终决议为准。</w:t>
      </w:r>
    </w:p>
    <w:p w14:paraId="2A06B210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  <w:sz w:val="22"/>
        </w:rPr>
      </w:pPr>
    </w:p>
    <w:p w14:paraId="2C91D29F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bookmarkStart w:id="18" w:name="_GoBack"/>
      <w:bookmarkEnd w:id="18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083A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5AB4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893F69"/>
    <w:rsid w:val="62B17696"/>
    <w:rsid w:val="69EB6C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4684</Words>
  <Characters>4742</Characters>
  <TotalTime>2</TotalTime>
  <ScaleCrop>false</ScaleCrop>
  <LinksUpToDate>false</LinksUpToDate>
  <CharactersWithSpaces>4832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2026-08-22T13:38:00Z</dcterms:created>
  <dc:creator>Apache POI</dc:creator>
  <cp:lastModifiedBy>WPS_1717491118</cp:lastModifiedBy>
  <dcterms:modified xsi:type="dcterms:W3CDTF">2026-08-27T03:44:03Z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{"Label":"1","ContentProducer":"001191110102MACQD9K64010000","ProduceID":"7676849975830400299","ReservedCode1":"","ContentPropagator":"","PropagateID":"","ReservedCode2":""}</vt:lpwstr>
  </property>
  <property fmtid="{D5CDD505-2E9C-101B-9397-08002B2CF9AE}" pid="3" name="KSOTemplateDocerSaveRecord">
    <vt:lpwstr>eyJoZGlkIjoiNWRlODNkNzg4NWVkYjgyM2Y5Y2I4NDcwMmZlNGU5NWIiLCJ1c2VySWQiOiIxNjA0MjY5NTE1In0=</vt:lpwstr>
  </property>
  <property fmtid="{D5CDD505-2E9C-101B-9397-08002B2CF9AE}" pid="4" name="KSOProductBuildVer">
    <vt:lpwstr>2052-12.1.0.28043</vt:lpwstr>
  </property>
  <property fmtid="{D5CDD505-2E9C-101B-9397-08002B2CF9AE}" pid="5" name="ICV">
    <vt:lpwstr>41D7DEBAFDF0427681F35FA72D2EDD47_13</vt:lpwstr>
  </property>
</Properties>
</file>