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m="http://schemas.openxmlformats.org/officeDocument/2006/math" xmlns:r="http://schemas.openxmlformats.org/officeDocument/2006/relationships">
  <w:body>
    <w:p>
      <w:pPr>
        <w:spacing w:before="480" w:after="480" w:line="288" w:lineRule="auto"/>
        <w:ind w:left="0"/>
        <w:jc w:val="left"/>
      </w:pPr>
      <w:r>
        <w:rPr>
          <w:rFonts w:eastAsia="等线" w:ascii="Arial" w:cs="Arial" w:hAnsi="Arial"/>
          <w:b w:val="true"/>
          <w:sz w:val="52"/>
        </w:rPr>
        <w:t>气浮主轴系列标准（成套三篇）</w:t>
      </w:r>
    </w:p>
    <w:p>
      <w:pPr>
        <w:spacing w:before="120" w:after="120" w:line="288" w:lineRule="auto"/>
        <w:ind w:left="0"/>
        <w:jc w:val="left"/>
      </w:pPr>
      <w:r>
        <w:rPr>
          <w:rFonts w:eastAsia="等线" w:ascii="Arial" w:cs="Arial" w:hAnsi="Arial"/>
          <w:sz w:val="22"/>
        </w:rPr>
        <w:t>本成套标准由三篇相对独立的标准文本组成，用于气浮主轴寿命与可靠性、气膜刚度与承载特性以及印制电路板（PCB）钻孔用气浮电主轴的产品设计、制造、检验、验收、选型与贸易仲裁。三篇标准体例统一、术语互通，可作为团体标准或企业标准申报、备案及项目结题的基础文本。</w:t>
      </w:r>
    </w:p>
    <w:p>
      <w:pPr>
        <w:numPr>
          <w:numId w:val="1"/>
        </w:numPr>
        <w:spacing w:before="120" w:after="120" w:line="288" w:lineRule="auto"/>
        <w:ind w:left="0"/>
        <w:jc w:val="left"/>
      </w:pPr>
      <w:r>
        <w:rPr>
          <w:rFonts w:eastAsia="等线" w:ascii="Arial" w:cs="Arial" w:hAnsi="Arial"/>
          <w:sz w:val="22"/>
        </w:rPr>
        <w:t>第一篇 气浮主轴超高速寿命与可靠性测试方法</w:t>
      </w:r>
    </w:p>
    <w:p>
      <w:pPr>
        <w:numPr>
          <w:numId w:val="2"/>
        </w:numPr>
        <w:spacing w:before="120" w:after="120" w:line="288" w:lineRule="auto"/>
        <w:ind w:left="0"/>
        <w:jc w:val="left"/>
      </w:pPr>
      <w:r>
        <w:rPr>
          <w:rFonts w:eastAsia="等线" w:ascii="Arial" w:cs="Arial" w:hAnsi="Arial"/>
          <w:sz w:val="22"/>
        </w:rPr>
        <w:t>第二篇 气浮主轴气膜刚度与承载特性测试方法</w:t>
      </w:r>
    </w:p>
    <w:p>
      <w:pPr>
        <w:numPr>
          <w:numId w:val="3"/>
        </w:numPr>
        <w:spacing w:before="120" w:after="120" w:line="288" w:lineRule="auto"/>
        <w:ind w:left="0"/>
        <w:jc w:val="left"/>
      </w:pPr>
      <w:r>
        <w:rPr>
          <w:rFonts w:eastAsia="等线" w:ascii="Arial" w:cs="Arial" w:hAnsi="Arial"/>
          <w:sz w:val="22"/>
        </w:rPr>
        <w:t>第三篇 印制电路板（PCB）钻孔用气浮电主轴通用技术要求</w:t>
      </w:r>
    </w:p>
    <w:p>
      <w:pPr>
        <w:pStyle w:val="1"/>
        <w:spacing w:before="380" w:after="140" w:line="288" w:lineRule="auto"/>
        <w:ind w:left="0"/>
        <w:jc w:val="left"/>
        <w:outlineLvl w:val="0"/>
      </w:pPr>
      <w:bookmarkStart w:name="heading_0" w:id="0"/>
      <w:r>
        <w:rPr>
          <w:rFonts w:eastAsia="等线" w:ascii="Arial" w:cs="Arial" w:hAnsi="Arial"/>
          <w:b w:val="true"/>
          <w:sz w:val="36"/>
        </w:rPr>
        <w:t>第一篇 气浮主轴超高速寿命与可靠性测试方法</w:t>
      </w:r>
      <w:bookmarkEnd w:id="0"/>
    </w:p>
    <w:p>
      <w:pPr>
        <w:pStyle w:val="2"/>
        <w:spacing w:before="320" w:after="120" w:line="288" w:lineRule="auto"/>
        <w:ind w:left="0"/>
        <w:jc w:val="left"/>
        <w:outlineLvl w:val="1"/>
      </w:pPr>
      <w:bookmarkStart w:name="heading_1" w:id="1"/>
      <w:r>
        <w:rPr>
          <w:rFonts w:eastAsia="等线" w:ascii="Arial" w:cs="Arial" w:hAnsi="Arial"/>
          <w:b w:val="true"/>
          <w:sz w:val="32"/>
        </w:rPr>
        <w:t>1 范围</w:t>
      </w:r>
      <w:bookmarkEnd w:id="1"/>
    </w:p>
    <w:p>
      <w:pPr>
        <w:spacing w:before="120" w:after="120" w:line="288" w:lineRule="auto"/>
        <w:ind w:left="0"/>
        <w:jc w:val="left"/>
      </w:pPr>
      <w:r>
        <w:rPr>
          <w:rFonts w:eastAsia="等线" w:ascii="Arial" w:cs="Arial" w:hAnsi="Arial"/>
          <w:sz w:val="22"/>
        </w:rPr>
        <w:t>本文件规定了空气静压气浮主轴（含集成式气浮电主轴）超高速寿命与可靠性测试的术语和定义、测试原理、测试设备工装仪器、环境与供气条件、受试样品要求、试验程序、失效判定准则、数据处理、结果评定及试验报告要求。</w:t>
      </w:r>
    </w:p>
    <w:p>
      <w:pPr>
        <w:spacing w:before="120" w:after="120" w:line="288" w:lineRule="auto"/>
        <w:ind w:left="0"/>
        <w:jc w:val="left"/>
      </w:pPr>
      <w:r>
        <w:rPr>
          <w:rFonts w:eastAsia="等线" w:ascii="Arial" w:cs="Arial" w:hAnsi="Arial"/>
          <w:sz w:val="22"/>
        </w:rPr>
        <w:t>本文件适用于额定转速60000 r/min及以上，采用小孔节流、多孔质节流、缝隙节流结构，用于印制电路板钻孔、超精密车削、超精密磨削、光学元件加工等场景的空气静压径向、止推气浮主轴及一体化气浮电主轴的空载、轻载条件下连续耐久寿命试验、启停循环可靠性试验、MTBF评定、B10寿命评定。其他转速规格、其他应用领域的空气静压气浮主轴可参照使用。</w:t>
      </w:r>
    </w:p>
    <w:p>
      <w:pPr>
        <w:spacing w:before="120" w:after="120" w:line="288" w:lineRule="auto"/>
        <w:ind w:left="0"/>
        <w:jc w:val="left"/>
      </w:pPr>
      <w:r>
        <w:rPr>
          <w:rFonts w:eastAsia="等线" w:ascii="Arial" w:cs="Arial" w:hAnsi="Arial"/>
          <w:sz w:val="22"/>
        </w:rPr>
        <w:t>本文件不适用于气体动压箔片轴承主轴、液体静压主轴、滚动轴承电主轴、磁悬浮主轴的寿命与可靠性测试。</w:t>
      </w:r>
    </w:p>
    <w:p>
      <w:pPr>
        <w:pStyle w:val="2"/>
        <w:spacing w:before="320" w:after="120" w:line="288" w:lineRule="auto"/>
        <w:ind w:left="0"/>
        <w:jc w:val="left"/>
        <w:outlineLvl w:val="1"/>
      </w:pPr>
      <w:bookmarkStart w:name="heading_2" w:id="2"/>
      <w:r>
        <w:rPr>
          <w:rFonts w:eastAsia="等线" w:ascii="Arial" w:cs="Arial" w:hAnsi="Arial"/>
          <w:b w:val="true"/>
          <w:sz w:val="32"/>
        </w:rPr>
        <w:t>2 规范性引用文件</w:t>
      </w:r>
      <w:bookmarkEnd w:id="2"/>
    </w:p>
    <w:p>
      <w:pPr>
        <w:spacing w:before="120" w:after="120" w:line="288" w:lineRule="auto"/>
        <w:ind w:left="0"/>
        <w:jc w:val="left"/>
      </w:pPr>
      <w:r>
        <w:rPr>
          <w:rFonts w:eastAsia="等线" w:ascii="Arial" w:cs="Arial" w:hAnsi="Arial"/>
          <w:sz w:val="22"/>
        </w:rPr>
        <w:t>下列文件中的内容通过文中的规范性引用而构成本文件必不可少的条款。其中，注日期的引用文件，仅该日期对应的版本适用于本文件；不注日期的引用文件，其最新版本（包括所有的修改单）适用于本文件。</w:t>
      </w:r>
    </w:p>
    <w:p>
      <w:pPr>
        <w:numPr>
          <w:numId w:val="4"/>
        </w:numPr>
        <w:spacing w:before="120" w:after="120" w:line="288" w:lineRule="auto"/>
        <w:ind w:left="0"/>
        <w:jc w:val="left"/>
      </w:pPr>
      <w:r>
        <w:rPr>
          <w:rFonts w:eastAsia="等线" w:ascii="Arial" w:cs="Arial" w:hAnsi="Arial"/>
          <w:sz w:val="22"/>
        </w:rPr>
        <w:t>GB/T 3187 可靠性、维修性术语</w:t>
      </w:r>
    </w:p>
    <w:p>
      <w:pPr>
        <w:numPr>
          <w:numId w:val="5"/>
        </w:numPr>
        <w:spacing w:before="120" w:after="120" w:line="288" w:lineRule="auto"/>
        <w:ind w:left="0"/>
        <w:jc w:val="left"/>
      </w:pPr>
      <w:r>
        <w:rPr>
          <w:rFonts w:eastAsia="等线" w:ascii="Arial" w:cs="Arial" w:hAnsi="Arial"/>
          <w:sz w:val="22"/>
        </w:rPr>
        <w:t>GB/T 2828.1 计数抽样检验程序 第1部分：按接收质量限（AQL）检索的逐批检验抽样计划</w:t>
      </w:r>
    </w:p>
    <w:p>
      <w:pPr>
        <w:numPr>
          <w:numId w:val="6"/>
        </w:numPr>
        <w:spacing w:before="120" w:after="120" w:line="288" w:lineRule="auto"/>
        <w:ind w:left="0"/>
        <w:jc w:val="left"/>
      </w:pPr>
      <w:r>
        <w:rPr>
          <w:rFonts w:eastAsia="等线" w:ascii="Arial" w:cs="Arial" w:hAnsi="Arial"/>
          <w:sz w:val="22"/>
        </w:rPr>
        <w:t>GB/T 6075.3 机械振动 在非旋转部件上测量和评价机器振动 第3部分：工业机器</w:t>
      </w:r>
    </w:p>
    <w:p>
      <w:pPr>
        <w:numPr>
          <w:numId w:val="7"/>
        </w:numPr>
        <w:spacing w:before="120" w:after="120" w:line="288" w:lineRule="auto"/>
        <w:ind w:left="0"/>
        <w:jc w:val="left"/>
      </w:pPr>
      <w:r>
        <w:rPr>
          <w:rFonts w:eastAsia="等线" w:ascii="Arial" w:cs="Arial" w:hAnsi="Arial"/>
          <w:sz w:val="22"/>
        </w:rPr>
        <w:t>GB/T 7167 气体流量计量 气体涡轮流量计</w:t>
      </w:r>
    </w:p>
    <w:p>
      <w:pPr>
        <w:numPr>
          <w:numId w:val="8"/>
        </w:numPr>
        <w:spacing w:before="120" w:after="120" w:line="288" w:lineRule="auto"/>
        <w:ind w:left="0"/>
        <w:jc w:val="left"/>
      </w:pPr>
      <w:r>
        <w:rPr>
          <w:rFonts w:eastAsia="等线" w:ascii="Arial" w:cs="Arial" w:hAnsi="Arial"/>
          <w:sz w:val="22"/>
        </w:rPr>
        <w:t>GB/T 17626.1 电磁兼容 试验和测量技术 抗扰度试验总论</w:t>
      </w:r>
    </w:p>
    <w:p>
      <w:pPr>
        <w:numPr>
          <w:numId w:val="9"/>
        </w:numPr>
        <w:spacing w:before="120" w:after="120" w:line="288" w:lineRule="auto"/>
        <w:ind w:left="0"/>
        <w:jc w:val="left"/>
      </w:pPr>
      <w:r>
        <w:rPr>
          <w:rFonts w:eastAsia="等线" w:ascii="Arial" w:cs="Arial" w:hAnsi="Arial"/>
          <w:sz w:val="22"/>
        </w:rPr>
        <w:t>GB/T 40116-2021 箔片轴承 气体动压径向轴承性能 静态承载能力、摩擦因数和寿命测试</w:t>
      </w:r>
    </w:p>
    <w:p>
      <w:pPr>
        <w:numPr>
          <w:numId w:val="10"/>
        </w:numPr>
        <w:spacing w:before="120" w:after="120" w:line="288" w:lineRule="auto"/>
        <w:ind w:left="0"/>
        <w:jc w:val="left"/>
      </w:pPr>
      <w:r>
        <w:rPr>
          <w:rFonts w:eastAsia="等线" w:ascii="Arial" w:cs="Arial" w:hAnsi="Arial"/>
          <w:sz w:val="22"/>
        </w:rPr>
        <w:t>JB/T 13826-2020 电主轴 性能试验规范</w:t>
      </w:r>
    </w:p>
    <w:p>
      <w:pPr>
        <w:numPr>
          <w:numId w:val="11"/>
        </w:numPr>
        <w:spacing w:before="120" w:after="120" w:line="288" w:lineRule="auto"/>
        <w:ind w:left="0"/>
        <w:jc w:val="left"/>
      </w:pPr>
      <w:r>
        <w:rPr>
          <w:rFonts w:eastAsia="等线" w:ascii="Arial" w:cs="Arial" w:hAnsi="Arial"/>
          <w:sz w:val="22"/>
        </w:rPr>
        <w:t>ISO 8573-1 压缩空气 第1部分：污染物和纯度等级</w:t>
      </w:r>
    </w:p>
    <w:p>
      <w:pPr>
        <w:pStyle w:val="2"/>
        <w:spacing w:before="320" w:after="120" w:line="288" w:lineRule="auto"/>
        <w:ind w:left="0"/>
        <w:jc w:val="left"/>
        <w:outlineLvl w:val="1"/>
      </w:pPr>
      <w:bookmarkStart w:name="heading_3" w:id="3"/>
      <w:r>
        <w:rPr>
          <w:rFonts w:eastAsia="等线" w:ascii="Arial" w:cs="Arial" w:hAnsi="Arial"/>
          <w:b w:val="true"/>
          <w:sz w:val="32"/>
        </w:rPr>
        <w:t>3 术语和定义</w:t>
      </w:r>
      <w:bookmarkEnd w:id="3"/>
    </w:p>
    <w:p>
      <w:pPr>
        <w:spacing w:before="120" w:after="120" w:line="288" w:lineRule="auto"/>
        <w:ind w:left="0"/>
        <w:jc w:val="left"/>
      </w:pPr>
      <w:r>
        <w:rPr>
          <w:rFonts w:eastAsia="等线" w:ascii="Arial" w:cs="Arial" w:hAnsi="Arial"/>
          <w:sz w:val="22"/>
        </w:rPr>
        <w:t>GB/T 3187界定的以及下列术语和定义适用于本文件。</w:t>
      </w:r>
    </w:p>
    <w:p>
      <w:pPr>
        <w:pStyle w:val="3"/>
        <w:spacing w:before="300" w:after="120" w:line="288" w:lineRule="auto"/>
        <w:ind w:left="0"/>
        <w:jc w:val="left"/>
        <w:outlineLvl w:val="2"/>
      </w:pPr>
      <w:bookmarkStart w:name="heading_4" w:id="4"/>
      <w:r>
        <w:rPr>
          <w:rFonts w:eastAsia="等线" w:ascii="Arial" w:cs="Arial" w:hAnsi="Arial"/>
          <w:b w:val="true"/>
          <w:sz w:val="30"/>
        </w:rPr>
        <w:t>3.1 空气静压气浮主轴（简称气浮主轴）</w:t>
      </w:r>
      <w:bookmarkEnd w:id="4"/>
    </w:p>
    <w:p>
      <w:pPr>
        <w:spacing w:before="120" w:after="120" w:line="288" w:lineRule="auto"/>
        <w:ind w:left="0"/>
        <w:jc w:val="left"/>
      </w:pPr>
      <w:r>
        <w:rPr>
          <w:rFonts w:eastAsia="等线" w:ascii="Arial" w:cs="Arial" w:hAnsi="Arial"/>
          <w:sz w:val="22"/>
        </w:rPr>
        <w:t>以经过净化干燥的压缩空气为润滑介质，依靠外部供气在转子与轴承套之间形成一层稳定空气静压气膜，实现转子无接触悬浮支撑，集成驱动电机或外部驱动结构的高速主轴总成；总成包含转子、径向气浮轴承、止推气浮轴承、节流元件、密封件、冷却流道、壳体、接线组件等。</w:t>
      </w:r>
    </w:p>
    <w:p>
      <w:pPr>
        <w:pStyle w:val="3"/>
        <w:spacing w:before="300" w:after="120" w:line="288" w:lineRule="auto"/>
        <w:ind w:left="0"/>
        <w:jc w:val="left"/>
        <w:outlineLvl w:val="2"/>
      </w:pPr>
      <w:bookmarkStart w:name="heading_5" w:id="5"/>
      <w:r>
        <w:rPr>
          <w:rFonts w:eastAsia="等线" w:ascii="Arial" w:cs="Arial" w:hAnsi="Arial"/>
          <w:b w:val="true"/>
          <w:sz w:val="30"/>
        </w:rPr>
        <w:t>3.2 超高速</w:t>
      </w:r>
      <w:bookmarkEnd w:id="5"/>
    </w:p>
    <w:p>
      <w:pPr>
        <w:spacing w:before="120" w:after="120" w:line="288" w:lineRule="auto"/>
        <w:ind w:left="0"/>
        <w:jc w:val="left"/>
      </w:pPr>
      <w:r>
        <w:rPr>
          <w:rFonts w:eastAsia="等线" w:ascii="Arial" w:cs="Arial" w:hAnsi="Arial"/>
          <w:sz w:val="22"/>
        </w:rPr>
        <w:t>受试主轴铭牌标注额定转速≥60000 r/min的工作转速区间。</w:t>
      </w:r>
    </w:p>
    <w:p>
      <w:pPr>
        <w:pStyle w:val="3"/>
        <w:spacing w:before="300" w:after="120" w:line="288" w:lineRule="auto"/>
        <w:ind w:left="0"/>
        <w:jc w:val="left"/>
        <w:outlineLvl w:val="2"/>
      </w:pPr>
      <w:bookmarkStart w:name="heading_6" w:id="6"/>
      <w:r>
        <w:rPr>
          <w:rFonts w:eastAsia="等线" w:ascii="Arial" w:cs="Arial" w:hAnsi="Arial"/>
          <w:b w:val="true"/>
          <w:sz w:val="30"/>
        </w:rPr>
        <w:t>3.3 连续耐久寿命试验</w:t>
      </w:r>
      <w:bookmarkEnd w:id="6"/>
    </w:p>
    <w:p>
      <w:pPr>
        <w:spacing w:before="120" w:after="120" w:line="288" w:lineRule="auto"/>
        <w:ind w:left="0"/>
        <w:jc w:val="left"/>
      </w:pPr>
      <w:r>
        <w:rPr>
          <w:rFonts w:eastAsia="等线" w:ascii="Arial" w:cs="Arial" w:hAnsi="Arial"/>
          <w:sz w:val="22"/>
        </w:rPr>
        <w:t>主轴在恒定供气、恒定冷却、恒定转速、恒定负载条件下不间断长期运行，考核长时间稳态工况下气膜稳定性、节流结构老化、密封老化、热疲劳的寿命试验。</w:t>
      </w:r>
    </w:p>
    <w:p>
      <w:pPr>
        <w:pStyle w:val="3"/>
        <w:spacing w:before="300" w:after="120" w:line="288" w:lineRule="auto"/>
        <w:ind w:left="0"/>
        <w:jc w:val="left"/>
        <w:outlineLvl w:val="2"/>
      </w:pPr>
      <w:bookmarkStart w:name="heading_7" w:id="7"/>
      <w:r>
        <w:rPr>
          <w:rFonts w:eastAsia="等线" w:ascii="Arial" w:cs="Arial" w:hAnsi="Arial"/>
          <w:b w:val="true"/>
          <w:sz w:val="30"/>
        </w:rPr>
        <w:t>3.4 启停循环可靠性试验</w:t>
      </w:r>
      <w:bookmarkEnd w:id="7"/>
    </w:p>
    <w:p>
      <w:pPr>
        <w:spacing w:before="120" w:after="120" w:line="288" w:lineRule="auto"/>
        <w:ind w:left="0"/>
        <w:jc w:val="left"/>
      </w:pPr>
      <w:r>
        <w:rPr>
          <w:rFonts w:eastAsia="等线" w:ascii="Arial" w:cs="Arial" w:hAnsi="Arial"/>
          <w:sz w:val="22"/>
        </w:rPr>
        <w:t>主轴按照预设时序完成静止—升速—稳速运行—降速—静止的周期性循环，考核启停冲击、气膜反复建立与消散带来的可靠性试验，优先用于PCB钻孔用气浮电主轴。</w:t>
      </w:r>
    </w:p>
    <w:p>
      <w:pPr>
        <w:pStyle w:val="3"/>
        <w:spacing w:before="300" w:after="120" w:line="288" w:lineRule="auto"/>
        <w:ind w:left="0"/>
        <w:jc w:val="left"/>
        <w:outlineLvl w:val="2"/>
      </w:pPr>
      <w:bookmarkStart w:name="heading_8" w:id="8"/>
      <w:r>
        <w:rPr>
          <w:rFonts w:eastAsia="等线" w:ascii="Arial" w:cs="Arial" w:hAnsi="Arial"/>
          <w:b w:val="true"/>
          <w:sz w:val="30"/>
        </w:rPr>
        <w:t>3.5 B10寿命</w:t>
      </w:r>
      <w:bookmarkEnd w:id="8"/>
    </w:p>
    <w:p>
      <w:pPr>
        <w:spacing w:before="120" w:after="120" w:line="288" w:lineRule="auto"/>
        <w:ind w:left="0"/>
        <w:jc w:val="left"/>
      </w:pPr>
      <w:r>
        <w:rPr>
          <w:rFonts w:eastAsia="等线" w:ascii="Arial" w:cs="Arial" w:hAnsi="Arial"/>
          <w:sz w:val="22"/>
        </w:rPr>
        <w:t>在规定试验条件下，同批次受试样品中有10%的样品发生失效时对应的累计工作时间，是气浮主轴寿命特征量。</w:t>
      </w:r>
    </w:p>
    <w:p>
      <w:pPr>
        <w:pStyle w:val="3"/>
        <w:spacing w:before="300" w:after="120" w:line="288" w:lineRule="auto"/>
        <w:ind w:left="0"/>
        <w:jc w:val="left"/>
        <w:outlineLvl w:val="2"/>
      </w:pPr>
      <w:bookmarkStart w:name="heading_9" w:id="9"/>
      <w:r>
        <w:rPr>
          <w:rFonts w:eastAsia="等线" w:ascii="Arial" w:cs="Arial" w:hAnsi="Arial"/>
          <w:b w:val="true"/>
          <w:sz w:val="30"/>
        </w:rPr>
        <w:t>3.6 平均无故障工作时间 MTBF</w:t>
      </w:r>
      <w:bookmarkEnd w:id="9"/>
    </w:p>
    <w:p>
      <w:pPr>
        <w:spacing w:before="120" w:after="120" w:line="288" w:lineRule="auto"/>
        <w:ind w:left="0"/>
        <w:jc w:val="left"/>
      </w:pPr>
      <w:r>
        <w:rPr>
          <w:rFonts w:eastAsia="等线" w:ascii="Arial" w:cs="Arial" w:hAnsi="Arial"/>
          <w:sz w:val="22"/>
        </w:rPr>
        <w:t>规定试验条件下，受试样品累计有效工作总时长与失效总次数的比值。</w:t>
      </w:r>
    </w:p>
    <w:p>
      <w:pPr>
        <w:pStyle w:val="3"/>
        <w:spacing w:before="300" w:after="120" w:line="288" w:lineRule="auto"/>
        <w:ind w:left="0"/>
        <w:jc w:val="left"/>
        <w:outlineLvl w:val="2"/>
      </w:pPr>
      <w:bookmarkStart w:name="heading_10" w:id="10"/>
      <w:r>
        <w:rPr>
          <w:rFonts w:eastAsia="等线" w:ascii="Arial" w:cs="Arial" w:hAnsi="Arial"/>
          <w:b w:val="true"/>
          <w:sz w:val="30"/>
        </w:rPr>
        <w:t>3.7 有效试验时长</w:t>
      </w:r>
      <w:bookmarkEnd w:id="10"/>
    </w:p>
    <w:p>
      <w:pPr>
        <w:spacing w:before="120" w:after="120" w:line="288" w:lineRule="auto"/>
        <w:ind w:left="0"/>
        <w:jc w:val="left"/>
      </w:pPr>
      <w:r>
        <w:rPr>
          <w:rFonts w:eastAsia="等线" w:ascii="Arial" w:cs="Arial" w:hAnsi="Arial"/>
          <w:sz w:val="22"/>
        </w:rPr>
        <w:t>受试主轴处于正常悬浮、正常转速、无试验台、气源、冷却系统外部故障干扰下的运行时长，剔除设备异常停机、人为停机、气源中断的无效时长。</w:t>
      </w:r>
    </w:p>
    <w:p>
      <w:pPr>
        <w:pStyle w:val="3"/>
        <w:spacing w:before="300" w:after="120" w:line="288" w:lineRule="auto"/>
        <w:ind w:left="0"/>
        <w:jc w:val="left"/>
        <w:outlineLvl w:val="2"/>
      </w:pPr>
      <w:bookmarkStart w:name="heading_11" w:id="11"/>
      <w:r>
        <w:rPr>
          <w:rFonts w:eastAsia="等线" w:ascii="Arial" w:cs="Arial" w:hAnsi="Arial"/>
          <w:b w:val="true"/>
          <w:sz w:val="30"/>
        </w:rPr>
        <w:t>3.8 气膜失稳</w:t>
      </w:r>
      <w:bookmarkEnd w:id="11"/>
    </w:p>
    <w:p>
      <w:pPr>
        <w:spacing w:before="120" w:after="120" w:line="288" w:lineRule="auto"/>
        <w:ind w:left="0"/>
        <w:jc w:val="left"/>
      </w:pPr>
      <w:r>
        <w:rPr>
          <w:rFonts w:eastAsia="等线" w:ascii="Arial" w:cs="Arial" w:hAnsi="Arial"/>
          <w:sz w:val="22"/>
        </w:rPr>
        <w:t>气浮轴承气膜刚度显著下降，转子悬浮状态波动加剧，振动幅值持续升高，未发生转子与轴承套直接接触碰磨的异常状态。</w:t>
      </w:r>
    </w:p>
    <w:p>
      <w:pPr>
        <w:pStyle w:val="3"/>
        <w:spacing w:before="300" w:after="120" w:line="288" w:lineRule="auto"/>
        <w:ind w:left="0"/>
        <w:jc w:val="left"/>
        <w:outlineLvl w:val="2"/>
      </w:pPr>
      <w:bookmarkStart w:name="heading_12" w:id="12"/>
      <w:r>
        <w:rPr>
          <w:rFonts w:eastAsia="等线" w:ascii="Arial" w:cs="Arial" w:hAnsi="Arial"/>
          <w:b w:val="true"/>
          <w:sz w:val="30"/>
        </w:rPr>
        <w:t>3.9 碰磨失效</w:t>
      </w:r>
      <w:bookmarkEnd w:id="12"/>
    </w:p>
    <w:p>
      <w:pPr>
        <w:spacing w:before="120" w:after="120" w:line="288" w:lineRule="auto"/>
        <w:ind w:left="0"/>
        <w:jc w:val="left"/>
      </w:pPr>
      <w:r>
        <w:rPr>
          <w:rFonts w:eastAsia="等线" w:ascii="Arial" w:cs="Arial" w:hAnsi="Arial"/>
          <w:sz w:val="22"/>
        </w:rPr>
        <w:t>转子和轴承套内孔/止推端面发生直接接触摩擦、撞击，造成轴承工作面划伤、节流孔堵塞、转子形位精度损伤的故障模式。</w:t>
      </w:r>
    </w:p>
    <w:p>
      <w:pPr>
        <w:pStyle w:val="3"/>
        <w:spacing w:before="300" w:after="120" w:line="288" w:lineRule="auto"/>
        <w:ind w:left="0"/>
        <w:jc w:val="left"/>
        <w:outlineLvl w:val="2"/>
      </w:pPr>
      <w:bookmarkStart w:name="heading_13" w:id="13"/>
      <w:r>
        <w:rPr>
          <w:rFonts w:eastAsia="等线" w:ascii="Arial" w:cs="Arial" w:hAnsi="Arial"/>
          <w:b w:val="true"/>
          <w:sz w:val="30"/>
        </w:rPr>
        <w:t>3.10 失效</w:t>
      </w:r>
      <w:bookmarkEnd w:id="13"/>
    </w:p>
    <w:p>
      <w:pPr>
        <w:spacing w:before="120" w:after="120" w:line="288" w:lineRule="auto"/>
        <w:ind w:left="0"/>
        <w:jc w:val="left"/>
      </w:pPr>
      <w:r>
        <w:rPr>
          <w:rFonts w:eastAsia="等线" w:ascii="Arial" w:cs="Arial" w:hAnsi="Arial"/>
          <w:sz w:val="22"/>
        </w:rPr>
        <w:t>受试主轴在规定试验条件下，任一指标超出本文件或产品技术规范允许限值，无法继续满足额定使用要求的状态，分为性能失效、热失效、结构失效、功能性失效。</w:t>
      </w:r>
    </w:p>
    <w:p>
      <w:pPr>
        <w:pStyle w:val="2"/>
        <w:spacing w:before="320" w:after="120" w:line="288" w:lineRule="auto"/>
        <w:ind w:left="0"/>
        <w:jc w:val="left"/>
        <w:outlineLvl w:val="1"/>
      </w:pPr>
      <w:bookmarkStart w:name="heading_14" w:id="14"/>
      <w:r>
        <w:rPr>
          <w:rFonts w:eastAsia="等线" w:ascii="Arial" w:cs="Arial" w:hAnsi="Arial"/>
          <w:b w:val="true"/>
          <w:sz w:val="32"/>
        </w:rPr>
        <w:t>4 测试原理</w:t>
      </w:r>
      <w:bookmarkEnd w:id="14"/>
    </w:p>
    <w:p>
      <w:pPr>
        <w:spacing w:before="120" w:after="120" w:line="288" w:lineRule="auto"/>
        <w:ind w:left="0"/>
        <w:jc w:val="left"/>
      </w:pPr>
      <w:r>
        <w:rPr>
          <w:rFonts w:eastAsia="等线" w:ascii="Arial" w:cs="Arial" w:hAnsi="Arial"/>
          <w:sz w:val="22"/>
        </w:rPr>
        <w:t>在可控、稳定、可复现的供气、冷却、环境条件下，将受试气浮主轴安装于专用试验工装，搭建高速测试系统。按照试验方案选择连续耐久模式或者启停循环模式运行；系统连续采集转速、供气压力、供气流量、壳体温度、径向振动、轴向振动、回转误差、噪声等参数，全程记录运行时间或者启停循环次数。</w:t>
      </w:r>
    </w:p>
    <w:p>
      <w:pPr>
        <w:spacing w:before="120" w:after="120" w:line="288" w:lineRule="auto"/>
        <w:ind w:left="0"/>
        <w:jc w:val="left"/>
      </w:pPr>
      <w:r>
        <w:rPr>
          <w:rFonts w:eastAsia="等线" w:ascii="Arial" w:cs="Arial" w:hAnsi="Arial"/>
          <w:sz w:val="22"/>
        </w:rPr>
        <w:t>当样品出现失效现象时，记录失效时刻、循环次数、失效模式；对多台样品失效数据采用威布尔分布进行统计拟合，计算B10寿命、MTBF、平均启停循环寿命，实现气浮主轴寿命与可靠性量化评定。</w:t>
      </w:r>
    </w:p>
    <w:p>
      <w:pPr>
        <w:spacing w:before="120" w:after="120" w:line="288" w:lineRule="auto"/>
        <w:ind w:left="0"/>
        <w:jc w:val="left"/>
      </w:pPr>
      <w:r>
        <w:rPr>
          <w:rFonts w:eastAsia="等线" w:ascii="Arial" w:cs="Arial" w:hAnsi="Arial"/>
          <w:sz w:val="22"/>
        </w:rPr>
        <w:t>试验优先模拟产品典型工况；PCB钻孔主轴以启停循环试验为主，磨削、车削超精密主轴以连续耐久寿命试验为主。</w:t>
      </w:r>
    </w:p>
    <w:p>
      <w:pPr>
        <w:pStyle w:val="2"/>
        <w:spacing w:before="320" w:after="120" w:line="288" w:lineRule="auto"/>
        <w:ind w:left="0"/>
        <w:jc w:val="left"/>
        <w:outlineLvl w:val="1"/>
      </w:pPr>
      <w:bookmarkStart w:name="heading_15" w:id="15"/>
      <w:r>
        <w:rPr>
          <w:rFonts w:eastAsia="等线" w:ascii="Arial" w:cs="Arial" w:hAnsi="Arial"/>
          <w:b w:val="true"/>
          <w:sz w:val="32"/>
        </w:rPr>
        <w:t>5 测试设备、工装及仪器仪表</w:t>
      </w:r>
      <w:bookmarkEnd w:id="15"/>
    </w:p>
    <w:p>
      <w:pPr>
        <w:pStyle w:val="3"/>
        <w:spacing w:before="300" w:after="120" w:line="288" w:lineRule="auto"/>
        <w:ind w:left="0"/>
        <w:jc w:val="left"/>
        <w:outlineLvl w:val="2"/>
      </w:pPr>
      <w:bookmarkStart w:name="heading_16" w:id="16"/>
      <w:r>
        <w:rPr>
          <w:rFonts w:eastAsia="等线" w:ascii="Arial" w:cs="Arial" w:hAnsi="Arial"/>
          <w:b w:val="true"/>
          <w:sz w:val="30"/>
        </w:rPr>
        <w:t>5.1 试验工装</w:t>
      </w:r>
      <w:bookmarkEnd w:id="16"/>
    </w:p>
    <w:p>
      <w:pPr>
        <w:spacing w:before="120" w:after="120" w:line="288" w:lineRule="auto"/>
        <w:ind w:left="0"/>
        <w:jc w:val="left"/>
      </w:pPr>
      <w:r>
        <w:rPr>
          <w:rFonts w:eastAsia="等线" w:ascii="Arial" w:cs="Arial" w:hAnsi="Arial"/>
          <w:sz w:val="22"/>
        </w:rPr>
        <w:t>5.1.1 工装底座具备足够刚度与阻尼，安装后底座自身固有频率避开主轴工作转速对应的激振频率，避免共振放大振动信号。</w:t>
      </w:r>
    </w:p>
    <w:p>
      <w:pPr>
        <w:spacing w:before="120" w:after="120" w:line="288" w:lineRule="auto"/>
        <w:ind w:left="0"/>
        <w:jc w:val="left"/>
      </w:pPr>
      <w:r>
        <w:rPr>
          <w:rFonts w:eastAsia="等线" w:ascii="Arial" w:cs="Arial" w:hAnsi="Arial"/>
          <w:sz w:val="22"/>
        </w:rPr>
        <w:t>5.1.2 工装定位结构保证主轴同轴安装，安装同轴度误差不大于2 μm；工装不遮挡冷却流道、传感器测点位置，不干涉供气回路。</w:t>
      </w:r>
    </w:p>
    <w:p>
      <w:pPr>
        <w:spacing w:before="120" w:after="120" w:line="288" w:lineRule="auto"/>
        <w:ind w:left="0"/>
        <w:jc w:val="left"/>
      </w:pPr>
      <w:r>
        <w:rPr>
          <w:rFonts w:eastAsia="等线" w:ascii="Arial" w:cs="Arial" w:hAnsi="Arial"/>
          <w:sz w:val="22"/>
        </w:rPr>
        <w:t>5.1.3 工装设置防护结构，防止高速转子意外损坏带来安全风险。</w:t>
      </w:r>
    </w:p>
    <w:p>
      <w:pPr>
        <w:pStyle w:val="3"/>
        <w:spacing w:before="300" w:after="120" w:line="288" w:lineRule="auto"/>
        <w:ind w:left="0"/>
        <w:jc w:val="left"/>
        <w:outlineLvl w:val="2"/>
      </w:pPr>
      <w:bookmarkStart w:name="heading_17" w:id="17"/>
      <w:r>
        <w:rPr>
          <w:rFonts w:eastAsia="等线" w:ascii="Arial" w:cs="Arial" w:hAnsi="Arial"/>
          <w:b w:val="true"/>
          <w:sz w:val="30"/>
        </w:rPr>
        <w:t>5.2 供气系统</w:t>
      </w:r>
      <w:bookmarkEnd w:id="17"/>
    </w:p>
    <w:p>
      <w:pPr>
        <w:spacing w:before="120" w:after="120" w:line="288" w:lineRule="auto"/>
        <w:ind w:left="0"/>
        <w:jc w:val="left"/>
      </w:pPr>
      <w:r>
        <w:rPr>
          <w:rFonts w:eastAsia="等线" w:ascii="Arial" w:cs="Arial" w:hAnsi="Arial"/>
          <w:sz w:val="22"/>
        </w:rPr>
        <w:t>5.2.1 配置空压机、储气罐、三级精密过滤器、冷冻式干燥机、调压阀、稳压阀、安全阀；供气纯度满足ISO 8573-1 Class 2。</w:t>
      </w:r>
    </w:p>
    <w:p>
      <w:pPr>
        <w:spacing w:before="120" w:after="120" w:line="288" w:lineRule="auto"/>
        <w:ind w:left="0"/>
        <w:jc w:val="left"/>
      </w:pPr>
      <w:r>
        <w:rPr>
          <w:rFonts w:eastAsia="等线" w:ascii="Arial" w:cs="Arial" w:hAnsi="Arial"/>
          <w:sz w:val="22"/>
        </w:rPr>
        <w:t>5.2.2 压力调节范围覆盖受试主轴额定供气压力±20%，稳压精度±0.005 MPa，具备压力超限报警、低压自动停机联锁功能。</w:t>
      </w:r>
    </w:p>
    <w:p>
      <w:pPr>
        <w:spacing w:before="120" w:after="120" w:line="288" w:lineRule="auto"/>
        <w:ind w:left="0"/>
        <w:jc w:val="left"/>
      </w:pPr>
      <w:r>
        <w:rPr>
          <w:rFonts w:eastAsia="等线" w:ascii="Arial" w:cs="Arial" w:hAnsi="Arial"/>
          <w:sz w:val="22"/>
        </w:rPr>
        <w:t>5.2.3 配置气体流量计，流量测量精度不低于1.5级，实时监测轴承耗气量变化。</w:t>
      </w:r>
    </w:p>
    <w:p>
      <w:pPr>
        <w:pStyle w:val="3"/>
        <w:spacing w:before="300" w:after="120" w:line="288" w:lineRule="auto"/>
        <w:ind w:left="0"/>
        <w:jc w:val="left"/>
        <w:outlineLvl w:val="2"/>
      </w:pPr>
      <w:bookmarkStart w:name="heading_18" w:id="18"/>
      <w:r>
        <w:rPr>
          <w:rFonts w:eastAsia="等线" w:ascii="Arial" w:cs="Arial" w:hAnsi="Arial"/>
          <w:b w:val="true"/>
          <w:sz w:val="30"/>
        </w:rPr>
        <w:t>5.3 驱动与控制系统</w:t>
      </w:r>
      <w:bookmarkEnd w:id="18"/>
    </w:p>
    <w:p>
      <w:pPr>
        <w:spacing w:before="120" w:after="120" w:line="288" w:lineRule="auto"/>
        <w:ind w:left="0"/>
        <w:jc w:val="left"/>
      </w:pPr>
      <w:r>
        <w:rPr>
          <w:rFonts w:eastAsia="等线" w:ascii="Arial" w:cs="Arial" w:hAnsi="Arial"/>
          <w:sz w:val="22"/>
        </w:rPr>
        <w:t>5.3.1 一体化气浮电主轴：配套专用高频变频器，调速范围覆盖0~1.2倍额定转速，转速稳态控制精度≤±0.5%FS，支持连续恒速运行、可编程启停时序自动运行。</w:t>
      </w:r>
    </w:p>
    <w:p>
      <w:pPr>
        <w:spacing w:before="120" w:after="120" w:line="288" w:lineRule="auto"/>
        <w:ind w:left="0"/>
        <w:jc w:val="left"/>
      </w:pPr>
      <w:r>
        <w:rPr>
          <w:rFonts w:eastAsia="等线" w:ascii="Arial" w:cs="Arial" w:hAnsi="Arial"/>
          <w:sz w:val="22"/>
        </w:rPr>
        <w:t>5.3.2 外部驱动式气浮主轴：配套高速精密联轴器、高速电机，联轴器动平衡等级不低于G1级，避免引入附加不平衡激励。</w:t>
      </w:r>
    </w:p>
    <w:p>
      <w:pPr>
        <w:spacing w:before="120" w:after="120" w:line="288" w:lineRule="auto"/>
        <w:ind w:left="0"/>
        <w:jc w:val="left"/>
      </w:pPr>
      <w:r>
        <w:rPr>
          <w:rFonts w:eastAsia="等线" w:ascii="Arial" w:cs="Arial" w:hAnsi="Arial"/>
          <w:sz w:val="22"/>
        </w:rPr>
        <w:t>5.3.3 控制系统具备运行计时、循环计数、参数超限自动停机、事件日志存储功能。</w:t>
      </w:r>
    </w:p>
    <w:p>
      <w:pPr>
        <w:pStyle w:val="3"/>
        <w:spacing w:before="300" w:after="120" w:line="288" w:lineRule="auto"/>
        <w:ind w:left="0"/>
        <w:jc w:val="left"/>
        <w:outlineLvl w:val="2"/>
      </w:pPr>
      <w:bookmarkStart w:name="heading_19" w:id="19"/>
      <w:r>
        <w:rPr>
          <w:rFonts w:eastAsia="等线" w:ascii="Arial" w:cs="Arial" w:hAnsi="Arial"/>
          <w:b w:val="true"/>
          <w:sz w:val="30"/>
        </w:rPr>
        <w:t>5.4 冷却系统</w:t>
      </w:r>
      <w:bookmarkEnd w:id="19"/>
    </w:p>
    <w:p>
      <w:pPr>
        <w:spacing w:before="120" w:after="120" w:line="288" w:lineRule="auto"/>
        <w:ind w:left="0"/>
        <w:jc w:val="left"/>
      </w:pPr>
      <w:r>
        <w:rPr>
          <w:rFonts w:eastAsia="等线" w:ascii="Arial" w:cs="Arial" w:hAnsi="Arial"/>
          <w:sz w:val="22"/>
        </w:rPr>
        <w:t>水冷型主轴使用恒温冷水机，控温精度±1 ℃；气冷主轴使用干燥洁净冷却气源。冷却流量、温度可闭环稳定控制，具备超温报警与停机联锁。</w:t>
      </w:r>
    </w:p>
    <w:p>
      <w:pPr>
        <w:pStyle w:val="3"/>
        <w:spacing w:before="300" w:after="120" w:line="288" w:lineRule="auto"/>
        <w:ind w:left="0"/>
        <w:jc w:val="left"/>
        <w:outlineLvl w:val="2"/>
      </w:pPr>
      <w:bookmarkStart w:name="heading_20" w:id="20"/>
      <w:r>
        <w:rPr>
          <w:rFonts w:eastAsia="等线" w:ascii="Arial" w:cs="Arial" w:hAnsi="Arial"/>
          <w:b w:val="true"/>
          <w:sz w:val="30"/>
        </w:rPr>
        <w:t>5.5 测量仪器与采集系统</w:t>
      </w:r>
      <w:bookmarkEnd w:id="20"/>
    </w:p>
    <w:p>
      <w:pPr>
        <w:spacing w:before="120" w:after="120" w:line="288" w:lineRule="auto"/>
        <w:ind w:left="0"/>
        <w:jc w:val="left"/>
      </w:pPr>
      <w:r>
        <w:rPr>
          <w:rFonts w:eastAsia="等线" w:ascii="Arial" w:cs="Arial" w:hAnsi="Arial"/>
          <w:sz w:val="22"/>
        </w:rPr>
        <w:t>5.5.1 振动传感器：压电式高频加速度传感器，频带覆盖10 Hz~20 kHz，满足GB/T 6075.3，布置在主轴壳体前端、后端轴承位置，测量径向振动；轴向振动测点布置在止推轴承对应壳体位置。</w:t>
      </w:r>
    </w:p>
    <w:p>
      <w:pPr>
        <w:spacing w:before="120" w:after="120" w:line="288" w:lineRule="auto"/>
        <w:ind w:left="0"/>
        <w:jc w:val="left"/>
      </w:pPr>
      <w:r>
        <w:rPr>
          <w:rFonts w:eastAsia="等线" w:ascii="Arial" w:cs="Arial" w:hAnsi="Arial"/>
          <w:sz w:val="22"/>
        </w:rPr>
        <w:t>5.5.2 温度传感器：PT100铂电阻，精度A级，布置于轴承壳体、定子（电主轴）测点，采样周期不大于1 s。</w:t>
      </w:r>
    </w:p>
    <w:p>
      <w:pPr>
        <w:spacing w:before="120" w:after="120" w:line="288" w:lineRule="auto"/>
        <w:ind w:left="0"/>
        <w:jc w:val="left"/>
      </w:pPr>
      <w:r>
        <w:rPr>
          <w:rFonts w:eastAsia="等线" w:ascii="Arial" w:cs="Arial" w:hAnsi="Arial"/>
          <w:sz w:val="22"/>
        </w:rPr>
        <w:t>5.5.3 转速测量：非接触式光电或者磁电转速传感器。</w:t>
      </w:r>
    </w:p>
    <w:p>
      <w:pPr>
        <w:spacing w:before="120" w:after="120" w:line="288" w:lineRule="auto"/>
        <w:ind w:left="0"/>
        <w:jc w:val="left"/>
      </w:pPr>
      <w:r>
        <w:rPr>
          <w:rFonts w:eastAsia="等线" w:ascii="Arial" w:cs="Arial" w:hAnsi="Arial"/>
          <w:sz w:val="22"/>
        </w:rPr>
        <w:t>5.5.4 回转精度（可选）：电容式位移传感器，分辨率优于0.01 μm，用于定期抽检回转误差。</w:t>
      </w:r>
    </w:p>
    <w:p>
      <w:pPr>
        <w:spacing w:before="120" w:after="120" w:line="288" w:lineRule="auto"/>
        <w:ind w:left="0"/>
        <w:jc w:val="left"/>
      </w:pPr>
      <w:r>
        <w:rPr>
          <w:rFonts w:eastAsia="等线" w:ascii="Arial" w:cs="Arial" w:hAnsi="Arial"/>
          <w:sz w:val="22"/>
        </w:rPr>
        <w:t>5.5.5 数据采集仪：同步多通道采集，采样频率≥1 kHz，数据连续存储、不可覆盖，存储时长覆盖全部试验周期。</w:t>
      </w:r>
    </w:p>
    <w:p>
      <w:pPr>
        <w:spacing w:before="120" w:after="120" w:line="288" w:lineRule="auto"/>
        <w:ind w:left="0"/>
        <w:jc w:val="left"/>
      </w:pPr>
      <w:r>
        <w:rPr>
          <w:rFonts w:eastAsia="等线" w:ascii="Arial" w:cs="Arial" w:hAnsi="Arial"/>
          <w:sz w:val="22"/>
        </w:rPr>
        <w:t>5.5.6 噪声测量（可选）：声级计，A计权，距离主轴壳体1 m位置测量。</w:t>
      </w:r>
    </w:p>
    <w:p>
      <w:pPr>
        <w:pStyle w:val="3"/>
        <w:spacing w:before="300" w:after="120" w:line="288" w:lineRule="auto"/>
        <w:ind w:left="0"/>
        <w:jc w:val="left"/>
        <w:outlineLvl w:val="2"/>
      </w:pPr>
      <w:bookmarkStart w:name="heading_21" w:id="21"/>
      <w:r>
        <w:rPr>
          <w:rFonts w:eastAsia="等线" w:ascii="Arial" w:cs="Arial" w:hAnsi="Arial"/>
          <w:b w:val="true"/>
          <w:sz w:val="30"/>
        </w:rPr>
        <w:t>5.6 仪器校准</w:t>
      </w:r>
      <w:bookmarkEnd w:id="21"/>
    </w:p>
    <w:p>
      <w:pPr>
        <w:spacing w:before="120" w:after="120" w:line="288" w:lineRule="auto"/>
        <w:ind w:left="0"/>
        <w:jc w:val="left"/>
      </w:pPr>
      <w:r>
        <w:rPr>
          <w:rFonts w:eastAsia="等线" w:ascii="Arial" w:cs="Arial" w:hAnsi="Arial"/>
          <w:sz w:val="22"/>
        </w:rPr>
        <w:t>所有计量仪器应在检定有效期内，保留校准证书。</w:t>
      </w:r>
    </w:p>
    <w:p>
      <w:pPr>
        <w:pStyle w:val="2"/>
        <w:spacing w:before="320" w:after="120" w:line="288" w:lineRule="auto"/>
        <w:ind w:left="0"/>
        <w:jc w:val="left"/>
        <w:outlineLvl w:val="1"/>
      </w:pPr>
      <w:bookmarkStart w:name="heading_22" w:id="22"/>
      <w:r>
        <w:rPr>
          <w:rFonts w:eastAsia="等线" w:ascii="Arial" w:cs="Arial" w:hAnsi="Arial"/>
          <w:b w:val="true"/>
          <w:sz w:val="32"/>
        </w:rPr>
        <w:t>6 环境与供气条件</w:t>
      </w:r>
      <w:bookmarkEnd w:id="22"/>
    </w:p>
    <w:p>
      <w:pPr>
        <w:spacing w:before="120" w:after="120" w:line="288" w:lineRule="auto"/>
        <w:ind w:left="0"/>
        <w:jc w:val="left"/>
      </w:pPr>
      <w:r>
        <w:rPr>
          <w:rFonts w:eastAsia="等线" w:ascii="Arial" w:cs="Arial" w:hAnsi="Arial"/>
          <w:sz w:val="22"/>
        </w:rPr>
        <w:t>6.1 环境温度：20 ℃±5 ℃，试验期间温度变化速率≤2 ℃/h。</w:t>
      </w:r>
    </w:p>
    <w:p>
      <w:pPr>
        <w:spacing w:before="120" w:after="120" w:line="288" w:lineRule="auto"/>
        <w:ind w:left="0"/>
        <w:jc w:val="left"/>
      </w:pPr>
      <w:r>
        <w:rPr>
          <w:rFonts w:eastAsia="等线" w:ascii="Arial" w:cs="Arial" w:hAnsi="Arial"/>
          <w:sz w:val="22"/>
        </w:rPr>
        <w:t>6.2 环境相对湿度：40%RH~60%RH，试验区域无结露。</w:t>
      </w:r>
    </w:p>
    <w:p>
      <w:pPr>
        <w:spacing w:before="120" w:after="120" w:line="288" w:lineRule="auto"/>
        <w:ind w:left="0"/>
        <w:jc w:val="left"/>
      </w:pPr>
      <w:r>
        <w:rPr>
          <w:rFonts w:eastAsia="等线" w:ascii="Arial" w:cs="Arial" w:hAnsi="Arial"/>
          <w:sz w:val="22"/>
        </w:rPr>
        <w:t>6.3 环境振动：基础地面振动有效值≤2.5 μm，远离冲床、空压机等强振源。</w:t>
      </w:r>
    </w:p>
    <w:p>
      <w:pPr>
        <w:spacing w:before="120" w:after="120" w:line="288" w:lineRule="auto"/>
        <w:ind w:left="0"/>
        <w:jc w:val="left"/>
      </w:pPr>
      <w:r>
        <w:rPr>
          <w:rFonts w:eastAsia="等线" w:ascii="Arial" w:cs="Arial" w:hAnsi="Arial"/>
          <w:sz w:val="22"/>
        </w:rPr>
        <w:t>6.4 电磁环境：无强电磁干扰，满足GB/T 17626.1，避免干扰转速、位移采集信号。</w:t>
      </w:r>
    </w:p>
    <w:p>
      <w:pPr>
        <w:spacing w:before="120" w:after="120" w:line="288" w:lineRule="auto"/>
        <w:ind w:left="0"/>
        <w:jc w:val="left"/>
      </w:pPr>
      <w:r>
        <w:rPr>
          <w:rFonts w:eastAsia="等线" w:ascii="Arial" w:cs="Arial" w:hAnsi="Arial"/>
          <w:sz w:val="22"/>
        </w:rPr>
        <w:t>6.5 供气介质：干燥洁净压缩空气，无油、无水、固体颗粒粒径≤1 μm。</w:t>
      </w:r>
    </w:p>
    <w:p>
      <w:pPr>
        <w:spacing w:before="120" w:after="120" w:line="288" w:lineRule="auto"/>
        <w:ind w:left="0"/>
        <w:jc w:val="left"/>
      </w:pPr>
      <w:r>
        <w:rPr>
          <w:rFonts w:eastAsia="等线" w:ascii="Arial" w:cs="Arial" w:hAnsi="Arial"/>
          <w:sz w:val="22"/>
        </w:rPr>
        <w:t>6.6 试验期间，除非试验方案明确变更工况，供气压力、冷却温度、冷却流量保持恒定。</w:t>
      </w:r>
    </w:p>
    <w:p>
      <w:pPr>
        <w:pStyle w:val="2"/>
        <w:spacing w:before="320" w:after="120" w:line="288" w:lineRule="auto"/>
        <w:ind w:left="0"/>
        <w:jc w:val="left"/>
        <w:outlineLvl w:val="1"/>
      </w:pPr>
      <w:bookmarkStart w:name="heading_23" w:id="23"/>
      <w:r>
        <w:rPr>
          <w:rFonts w:eastAsia="等线" w:ascii="Arial" w:cs="Arial" w:hAnsi="Arial"/>
          <w:b w:val="true"/>
          <w:sz w:val="32"/>
        </w:rPr>
        <w:t>7 受试样品要求</w:t>
      </w:r>
      <w:bookmarkEnd w:id="23"/>
    </w:p>
    <w:p>
      <w:pPr>
        <w:spacing w:before="120" w:after="120" w:line="288" w:lineRule="auto"/>
        <w:ind w:left="0"/>
        <w:jc w:val="left"/>
      </w:pPr>
      <w:r>
        <w:rPr>
          <w:rFonts w:eastAsia="等线" w:ascii="Arial" w:cs="Arial" w:hAnsi="Arial"/>
          <w:sz w:val="22"/>
        </w:rPr>
        <w:t>7.1 受试样品为出厂检验合格、未投入实际加工使用的全新主轴，出厂检验报告齐全，外观无磕碰划伤、节流孔无堵塞、气路无泄漏、线缆完好。</w:t>
      </w:r>
    </w:p>
    <w:p>
      <w:pPr>
        <w:spacing w:before="120" w:after="120" w:line="288" w:lineRule="auto"/>
        <w:ind w:left="0"/>
        <w:jc w:val="left"/>
      </w:pPr>
      <w:r>
        <w:rPr>
          <w:rFonts w:eastAsia="等线" w:ascii="Arial" w:cs="Arial" w:hAnsi="Arial"/>
          <w:sz w:val="22"/>
        </w:rPr>
        <w:t>7.2 抽样方案：可靠性寿命试验属于破坏性/长时间耐久试验，单组试验样品数量不少于3台；批量验收抽样可按照GB/T 2828.1协商确定。</w:t>
      </w:r>
    </w:p>
    <w:p>
      <w:pPr>
        <w:spacing w:before="120" w:after="120" w:line="288" w:lineRule="auto"/>
        <w:ind w:left="0"/>
        <w:jc w:val="left"/>
      </w:pPr>
      <w:r>
        <w:rPr>
          <w:rFonts w:eastAsia="等线" w:ascii="Arial" w:cs="Arial" w:hAnsi="Arial"/>
          <w:sz w:val="22"/>
        </w:rPr>
        <w:t>7.3 样品预处理：正式试验前，空载试运行2 h，逐步升速至额定转速，检查供气、温升、振动、噪声，确认无异常后方可启动寿命计时；预处理阶段出现异常的样品更换，不计入正式试验样品。</w:t>
      </w:r>
    </w:p>
    <w:p>
      <w:pPr>
        <w:spacing w:before="120" w:after="120" w:line="288" w:lineRule="auto"/>
        <w:ind w:left="0"/>
        <w:jc w:val="left"/>
      </w:pPr>
      <w:r>
        <w:rPr>
          <w:rFonts w:eastAsia="等线" w:ascii="Arial" w:cs="Arial" w:hAnsi="Arial"/>
          <w:sz w:val="22"/>
        </w:rPr>
        <w:t>7.4 样品标识：每台样品分配唯一编号，记录型号、序列号、节流形式、额定转速、额定供气压力、额定耗气量、冷却方式。</w:t>
      </w:r>
    </w:p>
    <w:p>
      <w:pPr>
        <w:pStyle w:val="2"/>
        <w:spacing w:before="320" w:after="120" w:line="288" w:lineRule="auto"/>
        <w:ind w:left="0"/>
        <w:jc w:val="left"/>
        <w:outlineLvl w:val="1"/>
      </w:pPr>
      <w:bookmarkStart w:name="heading_24" w:id="24"/>
      <w:r>
        <w:rPr>
          <w:rFonts w:eastAsia="等线" w:ascii="Arial" w:cs="Arial" w:hAnsi="Arial"/>
          <w:b w:val="true"/>
          <w:sz w:val="32"/>
        </w:rPr>
        <w:t>8 试验分类与试验程序</w:t>
      </w:r>
      <w:bookmarkEnd w:id="24"/>
    </w:p>
    <w:p>
      <w:pPr>
        <w:pStyle w:val="3"/>
        <w:spacing w:before="300" w:after="120" w:line="288" w:lineRule="auto"/>
        <w:ind w:left="0"/>
        <w:jc w:val="left"/>
        <w:outlineLvl w:val="2"/>
      </w:pPr>
      <w:bookmarkStart w:name="heading_25" w:id="25"/>
      <w:r>
        <w:rPr>
          <w:rFonts w:eastAsia="等线" w:ascii="Arial" w:cs="Arial" w:hAnsi="Arial"/>
          <w:b w:val="true"/>
          <w:sz w:val="30"/>
        </w:rPr>
        <w:t>8.1 试验类型选择</w:t>
      </w:r>
      <w:bookmarkEnd w:id="25"/>
    </w:p>
    <w:p>
      <w:pPr>
        <w:spacing w:before="120" w:after="120" w:line="288" w:lineRule="auto"/>
        <w:ind w:left="0"/>
        <w:jc w:val="left"/>
      </w:pPr>
      <w:r>
        <w:rPr>
          <w:rFonts w:eastAsia="等线" w:ascii="Arial" w:cs="Arial" w:hAnsi="Arial"/>
          <w:sz w:val="22"/>
        </w:rPr>
        <w:t>a）连续耐久寿命试验：适用于长时间稳态运行场景（超精密磨削、单点金刚石车削主轴）；</w:t>
      </w:r>
    </w:p>
    <w:p>
      <w:pPr>
        <w:spacing w:before="120" w:after="120" w:line="288" w:lineRule="auto"/>
        <w:ind w:left="0"/>
        <w:jc w:val="left"/>
      </w:pPr>
      <w:r>
        <w:rPr>
          <w:rFonts w:eastAsia="等线" w:ascii="Arial" w:cs="Arial" w:hAnsi="Arial"/>
          <w:sz w:val="22"/>
        </w:rPr>
        <w:t>b）启停循环可靠性试验：适用于间歇高频加工场景（PCB钻孔气浮电主轴）；</w:t>
      </w:r>
    </w:p>
    <w:p>
      <w:pPr>
        <w:spacing w:before="120" w:after="120" w:line="288" w:lineRule="auto"/>
        <w:ind w:left="0"/>
        <w:jc w:val="left"/>
      </w:pPr>
      <w:r>
        <w:rPr>
          <w:rFonts w:eastAsia="等线" w:ascii="Arial" w:cs="Arial" w:hAnsi="Arial"/>
          <w:sz w:val="22"/>
        </w:rPr>
        <w:t>可单独开展其中一类，也可以按产品技术要求先后完成两项试验。</w:t>
      </w:r>
    </w:p>
    <w:p>
      <w:pPr>
        <w:pStyle w:val="3"/>
        <w:spacing w:before="300" w:after="120" w:line="288" w:lineRule="auto"/>
        <w:ind w:left="0"/>
        <w:jc w:val="left"/>
        <w:outlineLvl w:val="2"/>
      </w:pPr>
      <w:bookmarkStart w:name="heading_26" w:id="26"/>
      <w:r>
        <w:rPr>
          <w:rFonts w:eastAsia="等线" w:ascii="Arial" w:cs="Arial" w:hAnsi="Arial"/>
          <w:b w:val="true"/>
          <w:sz w:val="30"/>
        </w:rPr>
        <w:t>8.2 连续耐久寿命试验程序</w:t>
      </w:r>
      <w:bookmarkEnd w:id="26"/>
    </w:p>
    <w:p>
      <w:pPr>
        <w:spacing w:before="120" w:after="120" w:line="288" w:lineRule="auto"/>
        <w:ind w:left="0"/>
        <w:jc w:val="left"/>
      </w:pPr>
      <w:r>
        <w:rPr>
          <w:rFonts w:eastAsia="等线" w:ascii="Arial" w:cs="Arial" w:hAnsi="Arial"/>
          <w:sz w:val="22"/>
        </w:rPr>
        <w:t>8.2.1 安装样品，连接气路、冷却回路、传感器、驱动线路，检查气密性，保压5 min无泄漏。</w:t>
      </w:r>
    </w:p>
    <w:p>
      <w:pPr>
        <w:spacing w:before="120" w:after="120" w:line="288" w:lineRule="auto"/>
        <w:ind w:left="0"/>
        <w:jc w:val="left"/>
      </w:pPr>
      <w:r>
        <w:rPr>
          <w:rFonts w:eastAsia="等线" w:ascii="Arial" w:cs="Arial" w:hAnsi="Arial"/>
          <w:sz w:val="22"/>
        </w:rPr>
        <w:t>8.2.2 开启供气、冷却系统，待冷却介质温度稳定至设定值。</w:t>
      </w:r>
    </w:p>
    <w:p>
      <w:pPr>
        <w:spacing w:before="120" w:after="120" w:line="288" w:lineRule="auto"/>
        <w:ind w:left="0"/>
        <w:jc w:val="left"/>
      </w:pPr>
      <w:r>
        <w:rPr>
          <w:rFonts w:eastAsia="等线" w:ascii="Arial" w:cs="Arial" w:hAnsi="Arial"/>
          <w:sz w:val="22"/>
        </w:rPr>
        <w:t>8.2.3 低速预热：以30%额定转速运行30 min，监测温升、振动。</w:t>
      </w:r>
    </w:p>
    <w:p>
      <w:pPr>
        <w:spacing w:before="120" w:after="120" w:line="288" w:lineRule="auto"/>
        <w:ind w:left="0"/>
        <w:jc w:val="left"/>
      </w:pPr>
      <w:r>
        <w:rPr>
          <w:rFonts w:eastAsia="等线" w:ascii="Arial" w:cs="Arial" w:hAnsi="Arial"/>
          <w:sz w:val="22"/>
        </w:rPr>
        <w:t>8.2.4 匀速升速，在15 min内平稳升至额定转速，进入热平衡阶段；持续运行至壳体温度变化小于0.5 K/h，判定达到热平衡，此时开始累计有效试验时长。</w:t>
      </w:r>
    </w:p>
    <w:p>
      <w:pPr>
        <w:spacing w:before="120" w:after="120" w:line="288" w:lineRule="auto"/>
        <w:ind w:left="0"/>
        <w:jc w:val="left"/>
      </w:pPr>
      <w:r>
        <w:rPr>
          <w:rFonts w:eastAsia="等线" w:ascii="Arial" w:cs="Arial" w:hAnsi="Arial"/>
          <w:sz w:val="22"/>
        </w:rPr>
        <w:t>8.2.5 稳态运行阶段，系统自动连续采集参数；人工巡检记录每小时一组基础数据（壳体温度、振动有效值、供气压力、流量、噪声）。</w:t>
      </w:r>
    </w:p>
    <w:p>
      <w:pPr>
        <w:spacing w:before="120" w:after="120" w:line="288" w:lineRule="auto"/>
        <w:ind w:left="0"/>
        <w:jc w:val="left"/>
      </w:pPr>
      <w:r>
        <w:rPr>
          <w:rFonts w:eastAsia="等线" w:ascii="Arial" w:cs="Arial" w:hAnsi="Arial"/>
          <w:sz w:val="22"/>
        </w:rPr>
        <w:t>8.2.6 运行至下面任一条件，停止该样品试验：</w:t>
      </w:r>
    </w:p>
    <w:p>
      <w:pPr>
        <w:numPr>
          <w:numId w:val="12"/>
        </w:numPr>
        <w:spacing w:before="120" w:after="120" w:line="288" w:lineRule="auto"/>
        <w:ind w:left="0"/>
        <w:jc w:val="left"/>
      </w:pPr>
      <w:r>
        <w:rPr>
          <w:rFonts w:eastAsia="等线" w:ascii="Arial" w:cs="Arial" w:hAnsi="Arial"/>
          <w:sz w:val="22"/>
        </w:rPr>
        <w:t>样品触发失效判定条件，发生失效；</w:t>
      </w:r>
    </w:p>
    <w:p>
      <w:pPr>
        <w:numPr>
          <w:numId w:val="13"/>
        </w:numPr>
        <w:spacing w:before="120" w:after="120" w:line="288" w:lineRule="auto"/>
        <w:ind w:left="0"/>
        <w:jc w:val="left"/>
      </w:pPr>
      <w:r>
        <w:rPr>
          <w:rFonts w:eastAsia="等线" w:ascii="Arial" w:cs="Arial" w:hAnsi="Arial"/>
          <w:sz w:val="22"/>
        </w:rPr>
        <w:t>达到预先约定的截止试验时长（截尾试验）；</w:t>
      </w:r>
    </w:p>
    <w:p>
      <w:pPr>
        <w:numPr>
          <w:numId w:val="14"/>
        </w:numPr>
        <w:spacing w:before="120" w:after="120" w:line="288" w:lineRule="auto"/>
        <w:ind w:left="0"/>
        <w:jc w:val="left"/>
      </w:pPr>
      <w:r>
        <w:rPr>
          <w:rFonts w:eastAsia="等线" w:ascii="Arial" w:cs="Arial" w:hAnsi="Arial"/>
          <w:sz w:val="22"/>
        </w:rPr>
        <w:t>同批次全部样品试验完成。</w:t>
      </w:r>
    </w:p>
    <w:p>
      <w:pPr>
        <w:spacing w:before="120" w:after="120" w:line="288" w:lineRule="auto"/>
        <w:ind w:left="0"/>
        <w:jc w:val="left"/>
      </w:pPr>
      <w:r>
        <w:rPr>
          <w:rFonts w:eastAsia="等线" w:ascii="Arial" w:cs="Arial" w:hAnsi="Arial"/>
          <w:sz w:val="22"/>
        </w:rPr>
        <w:t>8.2.7 试验停止后，保持供气状态30 min，缓慢降速停机，记录停机状态信息，必要时拆解检查失效部位。</w:t>
      </w:r>
    </w:p>
    <w:p>
      <w:pPr>
        <w:pStyle w:val="3"/>
        <w:spacing w:before="300" w:after="120" w:line="288" w:lineRule="auto"/>
        <w:ind w:left="0"/>
        <w:jc w:val="left"/>
        <w:outlineLvl w:val="2"/>
      </w:pPr>
      <w:bookmarkStart w:name="heading_27" w:id="27"/>
      <w:r>
        <w:rPr>
          <w:rFonts w:eastAsia="等线" w:ascii="Arial" w:cs="Arial" w:hAnsi="Arial"/>
          <w:b w:val="true"/>
          <w:sz w:val="30"/>
        </w:rPr>
        <w:t>8.3 启停循环可靠性试验程序</w:t>
      </w:r>
      <w:bookmarkEnd w:id="27"/>
    </w:p>
    <w:p>
      <w:pPr>
        <w:spacing w:before="120" w:after="120" w:line="288" w:lineRule="auto"/>
        <w:ind w:left="0"/>
        <w:jc w:val="left"/>
      </w:pPr>
      <w:r>
        <w:rPr>
          <w:rFonts w:eastAsia="等线" w:ascii="Arial" w:cs="Arial" w:hAnsi="Arial"/>
          <w:sz w:val="22"/>
        </w:rPr>
        <w:t>8.3.1 工装、气路、冷却、传感器安装检查同8.2.1~8.2.2。</w:t>
      </w:r>
    </w:p>
    <w:p>
      <w:pPr>
        <w:spacing w:before="120" w:after="120" w:line="288" w:lineRule="auto"/>
        <w:ind w:left="0"/>
        <w:jc w:val="left"/>
      </w:pPr>
      <w:r>
        <w:rPr>
          <w:rFonts w:eastAsia="等线" w:ascii="Arial" w:cs="Arial" w:hAnsi="Arial"/>
          <w:sz w:val="22"/>
        </w:rPr>
        <w:t>8.3.2 设定单循环时序（PCB钻孔主轴推荐时序，可按企业工艺协议调整）：静止待机4 s → 3 s加速至额定转速 → 额定转速稳速运行10 s → 3 s减速停机；单循环合计20 s。</w:t>
      </w:r>
    </w:p>
    <w:p>
      <w:pPr>
        <w:spacing w:before="120" w:after="120" w:line="288" w:lineRule="auto"/>
        <w:ind w:left="0"/>
        <w:jc w:val="left"/>
      </w:pPr>
      <w:r>
        <w:rPr>
          <w:rFonts w:eastAsia="等线" w:ascii="Arial" w:cs="Arial" w:hAnsi="Arial"/>
          <w:sz w:val="22"/>
        </w:rPr>
        <w:t>8.3.3 启动自动循环程序，控制系统自动计数，全程记录每一次循环内振动峰值、最高温度。</w:t>
      </w:r>
    </w:p>
    <w:p>
      <w:pPr>
        <w:spacing w:before="120" w:after="120" w:line="288" w:lineRule="auto"/>
        <w:ind w:left="0"/>
        <w:jc w:val="left"/>
      </w:pPr>
      <w:r>
        <w:rPr>
          <w:rFonts w:eastAsia="等线" w:ascii="Arial" w:cs="Arial" w:hAnsi="Arial"/>
          <w:sz w:val="22"/>
        </w:rPr>
        <w:t>8.3.4 出现失效或者达到约定截尾循环数时停止试验，记录失效对应的循环次数。</w:t>
      </w:r>
    </w:p>
    <w:p>
      <w:pPr>
        <w:spacing w:before="120" w:after="120" w:line="288" w:lineRule="auto"/>
        <w:ind w:left="0"/>
        <w:jc w:val="left"/>
      </w:pPr>
      <w:r>
        <w:rPr>
          <w:rFonts w:eastAsia="等线" w:ascii="Arial" w:cs="Arial" w:hAnsi="Arial"/>
          <w:sz w:val="22"/>
        </w:rPr>
        <w:t>注：若为重载钻孔工况，经供需双方协商，可以在稳速阶段施加模拟钻削径向/轴向轻载荷，载荷值写入试验方案。</w:t>
      </w:r>
    </w:p>
    <w:p>
      <w:pPr>
        <w:pStyle w:val="3"/>
        <w:spacing w:before="300" w:after="120" w:line="288" w:lineRule="auto"/>
        <w:ind w:left="0"/>
        <w:jc w:val="left"/>
        <w:outlineLvl w:val="2"/>
      </w:pPr>
      <w:bookmarkStart w:name="heading_28" w:id="28"/>
      <w:r>
        <w:rPr>
          <w:rFonts w:eastAsia="等线" w:ascii="Arial" w:cs="Arial" w:hAnsi="Arial"/>
          <w:b w:val="true"/>
          <w:sz w:val="30"/>
        </w:rPr>
        <w:t>8.4 截尾试验说明</w:t>
      </w:r>
      <w:bookmarkEnd w:id="28"/>
    </w:p>
    <w:p>
      <w:pPr>
        <w:spacing w:before="120" w:after="120" w:line="288" w:lineRule="auto"/>
        <w:ind w:left="0"/>
        <w:jc w:val="left"/>
      </w:pPr>
      <w:r>
        <w:rPr>
          <w:rFonts w:eastAsia="等线" w:ascii="Arial" w:cs="Arial" w:hAnsi="Arial"/>
          <w:sz w:val="22"/>
        </w:rPr>
        <w:t>考虑试验周期成本，可采用定时截尾或者定数截尾试验方案，截尾方案在试验前双方确认，写入试验方案文件；截尾未失效样品作为右删失数据参与统计。</w:t>
      </w:r>
    </w:p>
    <w:p>
      <w:pPr>
        <w:pStyle w:val="2"/>
        <w:spacing w:before="320" w:after="120" w:line="288" w:lineRule="auto"/>
        <w:ind w:left="0"/>
        <w:jc w:val="left"/>
        <w:outlineLvl w:val="1"/>
      </w:pPr>
      <w:bookmarkStart w:name="heading_29" w:id="29"/>
      <w:r>
        <w:rPr>
          <w:rFonts w:eastAsia="等线" w:ascii="Arial" w:cs="Arial" w:hAnsi="Arial"/>
          <w:b w:val="true"/>
          <w:sz w:val="32"/>
        </w:rPr>
        <w:t>9 失效判定准则</w:t>
      </w:r>
      <w:bookmarkEnd w:id="29"/>
    </w:p>
    <w:p>
      <w:pPr>
        <w:spacing w:before="120" w:after="120" w:line="288" w:lineRule="auto"/>
        <w:ind w:left="0"/>
        <w:jc w:val="left"/>
      </w:pPr>
      <w:r>
        <w:rPr>
          <w:rFonts w:eastAsia="等线" w:ascii="Arial" w:cs="Arial" w:hAnsi="Arial"/>
          <w:sz w:val="22"/>
        </w:rPr>
        <w:t>试验过程中，出现下面任意一项，判定样品失效，立即停止该样品试验，记录失效模式：</w:t>
      </w:r>
    </w:p>
    <w:p>
      <w:pPr>
        <w:spacing w:before="120" w:after="120" w:line="288" w:lineRule="auto"/>
        <w:ind w:left="0"/>
        <w:jc w:val="left"/>
      </w:pPr>
      <w:r>
        <w:rPr>
          <w:rFonts w:eastAsia="等线" w:ascii="Arial" w:cs="Arial" w:hAnsi="Arial"/>
          <w:sz w:val="22"/>
        </w:rPr>
        <w:t>9.1 回转精度：额定转速下径向回转误差超出产品出厂指标限值的1.5倍，且调整供气参数无法恢复。</w:t>
      </w:r>
    </w:p>
    <w:p>
      <w:pPr>
        <w:spacing w:before="120" w:after="120" w:line="288" w:lineRule="auto"/>
        <w:ind w:left="0"/>
        <w:jc w:val="left"/>
      </w:pPr>
      <w:r>
        <w:rPr>
          <w:rFonts w:eastAsia="等线" w:ascii="Arial" w:cs="Arial" w:hAnsi="Arial"/>
          <w:sz w:val="22"/>
        </w:rPr>
        <w:t>9.2 振动指标：稳态径向振动有效值持续大于出厂限值2倍，持续时间超过10 min，判定为持续性气膜失稳。</w:t>
      </w:r>
    </w:p>
    <w:p>
      <w:pPr>
        <w:spacing w:before="120" w:after="120" w:line="288" w:lineRule="auto"/>
        <w:ind w:left="0"/>
        <w:jc w:val="left"/>
      </w:pPr>
      <w:r>
        <w:rPr>
          <w:rFonts w:eastAsia="等线" w:ascii="Arial" w:cs="Arial" w:hAnsi="Arial"/>
          <w:sz w:val="22"/>
        </w:rPr>
        <w:t>9.3 气路与气膜：供气压力稳定前提下，耗气量持续上升超过初始稳态耗气量20%；气膜压力波动幅值大于额定供气压力10%，无法稳定。</w:t>
      </w:r>
    </w:p>
    <w:p>
      <w:pPr>
        <w:spacing w:before="120" w:after="120" w:line="288" w:lineRule="auto"/>
        <w:ind w:left="0"/>
        <w:jc w:val="left"/>
      </w:pPr>
      <w:r>
        <w:rPr>
          <w:rFonts w:eastAsia="等线" w:ascii="Arial" w:cs="Arial" w:hAnsi="Arial"/>
          <w:sz w:val="22"/>
        </w:rPr>
        <w:t>9.4 温度指标：冷却系统正常，壳体稳态温升超过45 K，或者温度持续爬升，无法形成稳定热平衡。</w:t>
      </w:r>
    </w:p>
    <w:p>
      <w:pPr>
        <w:spacing w:before="120" w:after="120" w:line="288" w:lineRule="auto"/>
        <w:ind w:left="0"/>
        <w:jc w:val="left"/>
      </w:pPr>
      <w:r>
        <w:rPr>
          <w:rFonts w:eastAsia="等线" w:ascii="Arial" w:cs="Arial" w:hAnsi="Arial"/>
          <w:sz w:val="22"/>
        </w:rPr>
        <w:t>9.5 异响与碰磨：持续出现摩擦、撞击异响，判定转子碰磨；偶发瞬时异响，参数随后恢复正常，可继续观察，连续3次重复出现异响判定失效。</w:t>
      </w:r>
    </w:p>
    <w:p>
      <w:pPr>
        <w:spacing w:before="120" w:after="120" w:line="288" w:lineRule="auto"/>
        <w:ind w:left="0"/>
        <w:jc w:val="left"/>
      </w:pPr>
      <w:r>
        <w:rPr>
          <w:rFonts w:eastAsia="等线" w:ascii="Arial" w:cs="Arial" w:hAnsi="Arial"/>
          <w:sz w:val="22"/>
        </w:rPr>
        <w:t>9.6 驱动与控制：无法达到额定转速、转速漂移超差、变频器持续报警、主轴绝缘电阻下降至低于规范限值。</w:t>
      </w:r>
    </w:p>
    <w:p>
      <w:pPr>
        <w:spacing w:before="120" w:after="120" w:line="288" w:lineRule="auto"/>
        <w:ind w:left="0"/>
        <w:jc w:val="left"/>
      </w:pPr>
      <w:r>
        <w:rPr>
          <w:rFonts w:eastAsia="等线" w:ascii="Arial" w:cs="Arial" w:hAnsi="Arial"/>
          <w:sz w:val="22"/>
        </w:rPr>
        <w:t>9.7 结构密封：气路密封破损、持续漏气，无法维持额定悬浮气压。</w:t>
      </w:r>
    </w:p>
    <w:p>
      <w:pPr>
        <w:spacing w:before="120" w:after="120" w:line="288" w:lineRule="auto"/>
        <w:ind w:left="0"/>
        <w:jc w:val="left"/>
      </w:pPr>
      <w:r>
        <w:rPr>
          <w:rFonts w:eastAsia="等线" w:ascii="Arial" w:cs="Arial" w:hAnsi="Arial"/>
          <w:sz w:val="22"/>
        </w:rPr>
        <w:t>9.8 其他：出现绝缘击穿、线缆烧毁、节流结构堵塞，不能满足额定工作条件。</w:t>
      </w:r>
    </w:p>
    <w:p>
      <w:pPr>
        <w:spacing w:before="120" w:after="120" w:line="288" w:lineRule="auto"/>
        <w:ind w:left="0"/>
        <w:jc w:val="left"/>
      </w:pPr>
      <w:r>
        <w:rPr>
          <w:rFonts w:eastAsia="等线" w:ascii="Arial" w:cs="Arial" w:hAnsi="Arial"/>
          <w:sz w:val="22"/>
        </w:rPr>
        <w:t>不属于样品本身的外部故障（空压机故障、冷却机故障、停电、传感器断线），不计入样品失效，本次时长标记为无效时长，排除在统计数据之外，排除故障后可以恢复试验。</w:t>
      </w:r>
    </w:p>
    <w:p>
      <w:pPr>
        <w:pStyle w:val="2"/>
        <w:spacing w:before="320" w:after="120" w:line="288" w:lineRule="auto"/>
        <w:ind w:left="0"/>
        <w:jc w:val="left"/>
        <w:outlineLvl w:val="1"/>
      </w:pPr>
      <w:bookmarkStart w:name="heading_30" w:id="30"/>
      <w:r>
        <w:rPr>
          <w:rFonts w:eastAsia="等线" w:ascii="Arial" w:cs="Arial" w:hAnsi="Arial"/>
          <w:b w:val="true"/>
          <w:sz w:val="32"/>
        </w:rPr>
        <w:t>10 数据采集、记录与数据处理</w:t>
      </w:r>
      <w:bookmarkEnd w:id="30"/>
    </w:p>
    <w:p>
      <w:pPr>
        <w:pStyle w:val="3"/>
        <w:spacing w:before="300" w:after="120" w:line="288" w:lineRule="auto"/>
        <w:ind w:left="0"/>
        <w:jc w:val="left"/>
        <w:outlineLvl w:val="2"/>
      </w:pPr>
      <w:bookmarkStart w:name="heading_31" w:id="31"/>
      <w:r>
        <w:rPr>
          <w:rFonts w:eastAsia="等线" w:ascii="Arial" w:cs="Arial" w:hAnsi="Arial"/>
          <w:b w:val="true"/>
          <w:sz w:val="30"/>
        </w:rPr>
        <w:t>10.1 记录内容</w:t>
      </w:r>
      <w:bookmarkEnd w:id="31"/>
    </w:p>
    <w:p>
      <w:pPr>
        <w:spacing w:before="120" w:after="120" w:line="288" w:lineRule="auto"/>
        <w:ind w:left="0"/>
        <w:jc w:val="left"/>
      </w:pPr>
      <w:r>
        <w:rPr>
          <w:rFonts w:eastAsia="等线" w:ascii="Arial" w:cs="Arial" w:hAnsi="Arial"/>
          <w:sz w:val="22"/>
        </w:rPr>
        <w:t>原始记录包含：样品编号、试验类型、开始时间、结束时间、有效时长、循环总数、各测点温度、振动、供气压力、流量、失效时刻、失效现象、失效模式、截尾标记。原始记录格式见附录A。</w:t>
      </w:r>
    </w:p>
    <w:p>
      <w:pPr>
        <w:pStyle w:val="3"/>
        <w:spacing w:before="300" w:after="120" w:line="288" w:lineRule="auto"/>
        <w:ind w:left="0"/>
        <w:jc w:val="left"/>
        <w:outlineLvl w:val="2"/>
      </w:pPr>
      <w:bookmarkStart w:name="heading_32" w:id="32"/>
      <w:r>
        <w:rPr>
          <w:rFonts w:eastAsia="等线" w:ascii="Arial" w:cs="Arial" w:hAnsi="Arial"/>
          <w:b w:val="true"/>
          <w:sz w:val="30"/>
        </w:rPr>
        <w:t>10.2 MTBF计算</w:t>
      </w:r>
      <w:bookmarkEnd w:id="32"/>
    </w:p>
    <w:p>
      <w:pPr>
        <w:spacing w:before="120" w:after="120" w:line="288" w:lineRule="auto"/>
        <w:ind w:left="0"/>
        <w:jc w:val="left"/>
      </w:pPr>
      <w:r>
        <w:rPr>
          <w:rFonts w:eastAsia="等线" w:ascii="Arial" w:cs="Arial" w:hAnsi="Arial"/>
          <w:sz w:val="22"/>
        </w:rPr>
      </w:r>
      <m:oMathPara>
        <m:oMathParaPr>
          <m:jc m:val="left"/>
        </m:oMathParaPr>
        <m:oMath xmlns:mml="http://www.w3.org/1998/Math/MathML">
          <m:r>
            <w:rPr>
              <w:rFonts w:ascii="Cambria Math" w:hAnsi="Cambria Math"/>
            </w:rPr>
            <m:t>MTBF=</m:t>
          </m:r>
          <m:f>
            <m:fPr>
              <m:type m:val="bar"/>
            </m:fPr>
            <m:num>
              <m:sSub>
                <m:e>
                  <m:r>
                    <w:rPr>
                      <w:rFonts w:ascii="Cambria Math" w:hAnsi="Cambria Math"/>
                    </w:rPr>
                    <m:t>T</m:t>
                  </m:r>
                </m:e>
                <m:sub>
                  <m:r>
                    <w:rPr>
                      <w:rFonts w:ascii="Cambria Math" w:hAnsi="Cambria Math"/>
                    </w:rPr>
                    <m:t>total</m:t>
                  </m:r>
                </m:sub>
              </m:sSub>
            </m:num>
            <m:den>
              <m:sSub>
                <m:e>
                  <m:r>
                    <w:rPr>
                      <w:rFonts w:ascii="Cambria Math" w:hAnsi="Cambria Math"/>
                    </w:rPr>
                    <m:t>N</m:t>
                  </m:r>
                </m:e>
                <m:sub>
                  <m:r>
                    <w:rPr>
                      <w:rFonts w:ascii="Cambria Math" w:hAnsi="Cambria Math"/>
                    </w:rPr>
                    <m:t>f</m:t>
                  </m:r>
                </m:sub>
              </m:sSub>
            </m:den>
          </m:f>
        </m:oMath>
      </m:oMathPara>
    </w:p>
    <w:p>
      <w:pPr>
        <w:spacing w:before="120" w:after="120" w:line="288" w:lineRule="auto"/>
        <w:ind w:left="0"/>
        <w:jc w:val="left"/>
      </w:pPr>
      <w:r>
        <w:rPr>
          <w:rFonts w:eastAsia="等线" w:ascii="Arial" w:cs="Arial" w:hAnsi="Arial"/>
          <w:sz w:val="22"/>
        </w:rPr>
        <w:t>式中：T_total为所有受试样品累计有效试验时长，单位h；N_f为样品失效总数量；无失效截尾试验，只给出MTBF下限估计值，不给出点估计。</w:t>
      </w:r>
    </w:p>
    <w:p>
      <w:pPr>
        <w:pStyle w:val="3"/>
        <w:spacing w:before="300" w:after="120" w:line="288" w:lineRule="auto"/>
        <w:ind w:left="0"/>
        <w:jc w:val="left"/>
        <w:outlineLvl w:val="2"/>
      </w:pPr>
      <w:bookmarkStart w:name="heading_33" w:id="33"/>
      <w:r>
        <w:rPr>
          <w:rFonts w:eastAsia="等线" w:ascii="Arial" w:cs="Arial" w:hAnsi="Arial"/>
          <w:b w:val="true"/>
          <w:sz w:val="30"/>
        </w:rPr>
        <w:t>10.3 B10寿命计算</w:t>
      </w:r>
      <w:bookmarkEnd w:id="33"/>
    </w:p>
    <w:p>
      <w:pPr>
        <w:spacing w:before="120" w:after="120" w:line="288" w:lineRule="auto"/>
        <w:ind w:left="0"/>
        <w:jc w:val="left"/>
      </w:pPr>
      <w:r>
        <w:rPr>
          <w:rFonts w:eastAsia="等线" w:ascii="Arial" w:cs="Arial" w:hAnsi="Arial"/>
          <w:sz w:val="22"/>
        </w:rPr>
        <w:t>采用两参数威布尔分布对失效时间数据拟合，分布函数：</w:t>
      </w:r>
    </w:p>
    <w:p>
      <w:pPr>
        <w:spacing w:before="120" w:after="120" w:line="288" w:lineRule="auto"/>
        <w:ind w:left="0"/>
        <w:jc w:val="left"/>
      </w:pPr>
      <w:r>
        <w:rPr>
          <w:rFonts w:eastAsia="等线" w:ascii="Arial" w:cs="Arial" w:hAnsi="Arial"/>
          <w:sz w:val="22"/>
        </w:rPr>
      </w:r>
      <m:oMathPara>
        <m:oMathParaPr>
          <m:jc m:val="left"/>
        </m:oMathParaPr>
        <m:oMath xmlns:mml="http://www.w3.org/1998/Math/MathML">
          <m:r>
            <w:rPr>
              <w:rFonts w:ascii="Cambria Math" w:hAnsi="Cambria Math"/>
            </w:rPr>
            <m:t>F(t)=1−</m:t>
          </m:r>
          <m:r>
            <m:rPr>
              <m:sty m:val="p"/>
            </m:rPr>
            <w:rPr>
              <w:rFonts w:ascii="Cambria Math" w:hAnsi="Cambria Math"/>
            </w:rPr>
            <m:t>exp</m:t>
          </m:r>
          <m:r>
            <w:rPr>
              <w:rFonts w:ascii="Cambria Math" w:hAnsi="Cambria Math"/>
            </w:rPr>
            <m:t>⁡</m:t>
          </m:r>
          <m:d>
            <m:dPr>
              <m:begChr m:val="["/>
              <m:endChr m:val="]"/>
            </m:dPr>
            <m:e>
              <m:r>
                <w:rPr>
                  <w:rFonts w:ascii="Cambria Math" w:hAnsi="Cambria Math"/>
                </w:rPr>
                <m:t>−</m:t>
              </m:r>
              <m:sSup>
                <m:e>
                  <m:d>
                    <m:e>
                      <m:f>
                        <m:fPr>
                          <m:type m:val="bar"/>
                        </m:fPr>
                        <m:num>
                          <m:r>
                            <w:rPr>
                              <w:rFonts w:ascii="Cambria Math" w:hAnsi="Cambria Math"/>
                            </w:rPr>
                            <m:t>t</m:t>
                          </m:r>
                        </m:num>
                        <m:den>
                          <m:r>
                            <w:rPr>
                              <w:rFonts w:ascii="Cambria Math" w:hAnsi="Cambria Math"/>
                            </w:rPr>
                            <m:t>η</m:t>
                          </m:r>
                        </m:den>
                      </m:f>
                    </m:e>
                  </m:d>
                </m:e>
                <m:sup>
                  <m:r>
                    <w:rPr>
                      <w:rFonts w:ascii="Cambria Math" w:hAnsi="Cambria Math"/>
                    </w:rPr>
                    <m:t>β</m:t>
                  </m:r>
                </m:sup>
              </m:sSup>
            </m:e>
          </m:d>
        </m:oMath>
      </m:oMathPara>
    </w:p>
    <w:p>
      <w:pPr>
        <w:spacing w:before="120" w:after="120" w:line="288" w:lineRule="auto"/>
        <w:ind w:left="0"/>
        <w:jc w:val="left"/>
      </w:pPr>
      <w:r>
        <w:rPr>
          <w:rFonts w:eastAsia="等线" w:ascii="Arial" w:cs="Arial" w:hAnsi="Arial"/>
          <w:sz w:val="22"/>
        </w:rPr>
        <w:t>式中：F(t)为t时刻失效概率；β为形状参数；η为特征寿命（尺度参数）；令F(t)=0.1，求解得到B10寿命：</w:t>
      </w:r>
    </w:p>
    <w:p>
      <w:pPr>
        <w:spacing w:before="120" w:after="120" w:line="288" w:lineRule="auto"/>
        <w:ind w:left="0"/>
        <w:jc w:val="left"/>
      </w:pPr>
      <w:r>
        <w:rPr>
          <w:rFonts w:eastAsia="等线" w:ascii="Arial" w:cs="Arial" w:hAnsi="Arial"/>
          <w:sz w:val="22"/>
        </w:rPr>
      </w:r>
      <m:oMathPara>
        <m:oMathParaPr>
          <m:jc m:val="left"/>
        </m:oMathParaPr>
        <m:oMath xmlns:mml="http://www.w3.org/1998/Math/MathML">
          <m:r>
            <w:rPr>
              <w:rFonts w:ascii="Cambria Math" w:hAnsi="Cambria Math"/>
            </w:rPr>
            <m:t>B10=η⋅(−</m:t>
          </m:r>
          <m:r>
            <m:rPr>
              <m:sty m:val="p"/>
            </m:rPr>
            <w:rPr>
              <w:rFonts w:ascii="Cambria Math" w:hAnsi="Cambria Math"/>
            </w:rPr>
            <m:t>ln</m:t>
          </m:r>
          <m:r>
            <w:rPr>
              <w:rFonts w:ascii="Cambria Math" w:hAnsi="Cambria Math"/>
            </w:rPr>
            <m:t>⁡0.9</m:t>
          </m:r>
          <m:sSup>
            <m:e>
              <m:r>
                <w:rPr>
                  <w:rFonts w:ascii="Cambria Math" w:hAnsi="Cambria Math"/>
                </w:rPr>
                <m:t>)</m:t>
              </m:r>
            </m:e>
            <m:sup>
              <m:r>
                <w:rPr>
                  <w:rFonts w:ascii="Cambria Math" w:hAnsi="Cambria Math"/>
                </w:rPr>
                <m:t>1</m:t>
              </m:r>
              <m:r>
                <w:rPr>
                  <w:rFonts w:ascii="Cambria Math" w:hAnsi="Cambria Math"/>
                </w:rPr>
                <m:t>/</m:t>
              </m:r>
              <m:r>
                <w:rPr>
                  <w:rFonts w:ascii="Cambria Math" w:hAnsi="Cambria Math"/>
                </w:rPr>
                <m:t>β</m:t>
              </m:r>
            </m:sup>
          </m:sSup>
        </m:oMath>
      </m:oMathPara>
    </w:p>
    <w:p>
      <w:pPr>
        <w:spacing w:before="120" w:after="120" w:line="288" w:lineRule="auto"/>
        <w:ind w:left="0"/>
        <w:jc w:val="left"/>
      </w:pPr>
      <w:r>
        <w:rPr>
          <w:rFonts w:eastAsia="等线" w:ascii="Arial" w:cs="Arial" w:hAnsi="Arial"/>
          <w:sz w:val="22"/>
        </w:rPr>
        <w:t>包含删失数据时，采用极大似然估计拟合威布尔参数；计算示例见附录B。</w:t>
      </w:r>
    </w:p>
    <w:p>
      <w:pPr>
        <w:pStyle w:val="3"/>
        <w:spacing w:before="300" w:after="120" w:line="288" w:lineRule="auto"/>
        <w:ind w:left="0"/>
        <w:jc w:val="left"/>
        <w:outlineLvl w:val="2"/>
      </w:pPr>
      <w:bookmarkStart w:name="heading_34" w:id="34"/>
      <w:r>
        <w:rPr>
          <w:rFonts w:eastAsia="等线" w:ascii="Arial" w:cs="Arial" w:hAnsi="Arial"/>
          <w:b w:val="true"/>
          <w:sz w:val="30"/>
        </w:rPr>
        <w:t>10.4 启停循环寿命</w:t>
      </w:r>
      <w:bookmarkEnd w:id="34"/>
    </w:p>
    <w:p>
      <w:pPr>
        <w:spacing w:before="120" w:after="120" w:line="288" w:lineRule="auto"/>
        <w:ind w:left="0"/>
        <w:jc w:val="left"/>
      </w:pPr>
      <w:r>
        <w:rPr>
          <w:rFonts w:eastAsia="等线" w:ascii="Arial" w:cs="Arial" w:hAnsi="Arial"/>
          <w:sz w:val="22"/>
        </w:rPr>
        <w:t>单台失效循环次数记为C_i，多台样品平均启停循环寿命：</w:t>
      </w:r>
    </w:p>
    <w:p>
      <w:pPr>
        <w:spacing w:before="120" w:after="120" w:line="288" w:lineRule="auto"/>
        <w:ind w:left="0"/>
        <w:jc w:val="left"/>
      </w:pPr>
      <w:r>
        <w:rPr>
          <w:rFonts w:eastAsia="等线" w:ascii="Arial" w:cs="Arial" w:hAnsi="Arial"/>
          <w:sz w:val="22"/>
        </w:rPr>
      </w:r>
      <m:oMathPara>
        <m:oMathParaPr>
          <m:jc m:val="left"/>
        </m:oMathParaPr>
        <m:oMath xmlns:mml="http://www.w3.org/1998/Math/MathML">
          <m:bar>
            <m:barPr>
              <m:pos m:val="top"/>
            </m:barPr>
            <m:e>
              <m:r>
                <w:rPr>
                  <w:rFonts w:ascii="Cambria Math" w:hAnsi="Cambria Math"/>
                </w:rPr>
                <m:t>C</m:t>
              </m:r>
            </m:e>
          </m:bar>
          <m:r>
            <w:rPr>
              <w:rFonts w:ascii="Cambria Math" w:hAnsi="Cambria Math"/>
            </w:rPr>
            <m:t>=</m:t>
          </m:r>
          <m:f>
            <m:fPr>
              <m:type m:val="bar"/>
            </m:fPr>
            <m:num>
              <m:r>
                <w:rPr>
                  <w:rFonts w:ascii="Cambria Math" w:hAnsi="Cambria Math"/>
                </w:rPr>
                <m:t>1</m:t>
              </m:r>
            </m:num>
            <m:den>
              <m:sSub>
                <m:e>
                  <m:r>
                    <w:rPr>
                      <w:rFonts w:ascii="Cambria Math" w:hAnsi="Cambria Math"/>
                    </w:rPr>
                    <m:t>N</m:t>
                  </m:r>
                </m:e>
                <m:sub>
                  <m:r>
                    <w:rPr>
                      <w:rFonts w:ascii="Cambria Math" w:hAnsi="Cambria Math"/>
                    </w:rPr>
                    <m:t>f</m:t>
                  </m:r>
                </m:sub>
              </m:sSub>
            </m:den>
          </m:f>
          <m:r>
            <w:rPr>
              <w:rFonts w:ascii="Cambria Math" w:hAnsi="Cambria Math"/>
            </w:rPr>
            <m:t>∑</m:t>
          </m:r>
          <m:sSub>
            <m:e>
              <m:r>
                <w:rPr>
                  <w:rFonts w:ascii="Cambria Math" w:hAnsi="Cambria Math"/>
                </w:rPr>
                <m:t>C</m:t>
              </m:r>
            </m:e>
            <m:sub>
              <m:r>
                <w:rPr>
                  <w:rFonts w:ascii="Cambria Math" w:hAnsi="Cambria Math"/>
                </w:rPr>
                <m:t>i</m:t>
              </m:r>
            </m:sub>
          </m:sSub>
        </m:oMath>
      </m:oMathPara>
    </w:p>
    <w:p>
      <w:pPr>
        <w:pStyle w:val="2"/>
        <w:spacing w:before="320" w:after="120" w:line="288" w:lineRule="auto"/>
        <w:ind w:left="0"/>
        <w:jc w:val="left"/>
        <w:outlineLvl w:val="1"/>
      </w:pPr>
      <w:bookmarkStart w:name="heading_35" w:id="35"/>
      <w:r>
        <w:rPr>
          <w:rFonts w:eastAsia="等线" w:ascii="Arial" w:cs="Arial" w:hAnsi="Arial"/>
          <w:b w:val="true"/>
          <w:sz w:val="32"/>
        </w:rPr>
        <w:t>11 试验结果评定</w:t>
      </w:r>
      <w:bookmarkEnd w:id="35"/>
    </w:p>
    <w:p>
      <w:pPr>
        <w:spacing w:before="120" w:after="120" w:line="288" w:lineRule="auto"/>
        <w:ind w:left="0"/>
        <w:jc w:val="left"/>
      </w:pPr>
      <w:r>
        <w:rPr>
          <w:rFonts w:eastAsia="等线" w:ascii="Arial" w:cs="Arial" w:hAnsi="Arial"/>
          <w:sz w:val="22"/>
        </w:rPr>
        <w:t>11.1 将计算得到B10寿命、MTBF、平均启停循环寿命与产品技术协议、规范指标对比，判定合格或不合格。</w:t>
      </w:r>
    </w:p>
    <w:p>
      <w:pPr>
        <w:spacing w:before="120" w:after="120" w:line="288" w:lineRule="auto"/>
        <w:ind w:left="0"/>
        <w:jc w:val="left"/>
      </w:pPr>
      <w:r>
        <w:rPr>
          <w:rFonts w:eastAsia="等线" w:ascii="Arial" w:cs="Arial" w:hAnsi="Arial"/>
          <w:sz w:val="22"/>
        </w:rPr>
        <w:t>11.2 同一批次样品，70%以上失效样品为同一种失效模式，判定该批次存在系统性薄弱环节，出具改进提示。</w:t>
      </w:r>
    </w:p>
    <w:p>
      <w:pPr>
        <w:spacing w:before="120" w:after="120" w:line="288" w:lineRule="auto"/>
        <w:ind w:left="0"/>
        <w:jc w:val="left"/>
      </w:pPr>
      <w:r>
        <w:rPr>
          <w:rFonts w:eastAsia="等线" w:ascii="Arial" w:cs="Arial" w:hAnsi="Arial"/>
          <w:sz w:val="22"/>
        </w:rPr>
        <w:t>11.3 试验结果仅在本文件规定工况下有效；不得直接外推到其他转速、负载、供气条件。</w:t>
      </w:r>
    </w:p>
    <w:p>
      <w:pPr>
        <w:spacing w:before="120" w:after="120" w:line="288" w:lineRule="auto"/>
        <w:ind w:left="0"/>
        <w:jc w:val="left"/>
      </w:pPr>
      <w:r>
        <w:rPr>
          <w:rFonts w:eastAsia="等线" w:ascii="Arial" w:cs="Arial" w:hAnsi="Arial"/>
          <w:sz w:val="22"/>
        </w:rPr>
        <w:t>11.4 截尾试验、样品数量不足的试验，评定结论中必须注明试验限制条件，不能宣称达到无上限寿命。</w:t>
      </w:r>
    </w:p>
    <w:p>
      <w:pPr>
        <w:pStyle w:val="2"/>
        <w:spacing w:before="320" w:after="120" w:line="288" w:lineRule="auto"/>
        <w:ind w:left="0"/>
        <w:jc w:val="left"/>
        <w:outlineLvl w:val="1"/>
      </w:pPr>
      <w:bookmarkStart w:name="heading_36" w:id="36"/>
      <w:r>
        <w:rPr>
          <w:rFonts w:eastAsia="等线" w:ascii="Arial" w:cs="Arial" w:hAnsi="Arial"/>
          <w:b w:val="true"/>
          <w:sz w:val="32"/>
        </w:rPr>
        <w:t>12 试验报告</w:t>
      </w:r>
      <w:bookmarkEnd w:id="36"/>
    </w:p>
    <w:p>
      <w:pPr>
        <w:spacing w:before="120" w:after="120" w:line="288" w:lineRule="auto"/>
        <w:ind w:left="0"/>
        <w:jc w:val="left"/>
      </w:pPr>
      <w:r>
        <w:rPr>
          <w:rFonts w:eastAsia="等线" w:ascii="Arial" w:cs="Arial" w:hAnsi="Arial"/>
          <w:sz w:val="22"/>
        </w:rPr>
        <w:t>试验报告至少包含以下内容：</w:t>
      </w:r>
    </w:p>
    <w:p>
      <w:pPr>
        <w:numPr>
          <w:numId w:val="15"/>
        </w:numPr>
        <w:spacing w:before="120" w:after="120" w:line="288" w:lineRule="auto"/>
        <w:ind w:left="0"/>
        <w:jc w:val="left"/>
      </w:pPr>
      <w:r>
        <w:rPr>
          <w:rFonts w:eastAsia="等线" w:ascii="Arial" w:cs="Arial" w:hAnsi="Arial"/>
          <w:sz w:val="22"/>
        </w:rPr>
        <w:t>标准依据、试验方案编号；</w:t>
      </w:r>
    </w:p>
    <w:p>
      <w:pPr>
        <w:numPr>
          <w:numId w:val="16"/>
        </w:numPr>
        <w:spacing w:before="120" w:after="120" w:line="288" w:lineRule="auto"/>
        <w:ind w:left="0"/>
        <w:jc w:val="left"/>
      </w:pPr>
      <w:r>
        <w:rPr>
          <w:rFonts w:eastAsia="等线" w:ascii="Arial" w:cs="Arial" w:hAnsi="Arial"/>
          <w:sz w:val="22"/>
        </w:rPr>
        <w:t>委托单位、试验单位；</w:t>
      </w:r>
    </w:p>
    <w:p>
      <w:pPr>
        <w:numPr>
          <w:numId w:val="17"/>
        </w:numPr>
        <w:spacing w:before="120" w:after="120" w:line="288" w:lineRule="auto"/>
        <w:ind w:left="0"/>
        <w:jc w:val="left"/>
      </w:pPr>
      <w:r>
        <w:rPr>
          <w:rFonts w:eastAsia="等线" w:ascii="Arial" w:cs="Arial" w:hAnsi="Arial"/>
          <w:sz w:val="22"/>
        </w:rPr>
        <w:t>受试主轴清单（型号、序列号、节流方式、额定参数）；</w:t>
      </w:r>
    </w:p>
    <w:p>
      <w:pPr>
        <w:numPr>
          <w:numId w:val="18"/>
        </w:numPr>
        <w:spacing w:before="120" w:after="120" w:line="288" w:lineRule="auto"/>
        <w:ind w:left="0"/>
        <w:jc w:val="left"/>
      </w:pPr>
      <w:r>
        <w:rPr>
          <w:rFonts w:eastAsia="等线" w:ascii="Arial" w:cs="Arial" w:hAnsi="Arial"/>
          <w:sz w:val="22"/>
        </w:rPr>
        <w:t>试验设备、仪器清单及校准信息；</w:t>
      </w:r>
    </w:p>
    <w:p>
      <w:pPr>
        <w:numPr>
          <w:numId w:val="19"/>
        </w:numPr>
        <w:spacing w:before="120" w:after="120" w:line="288" w:lineRule="auto"/>
        <w:ind w:left="0"/>
        <w:jc w:val="left"/>
      </w:pPr>
      <w:r>
        <w:rPr>
          <w:rFonts w:eastAsia="等线" w:ascii="Arial" w:cs="Arial" w:hAnsi="Arial"/>
          <w:sz w:val="22"/>
        </w:rPr>
        <w:t>环境条件、供气参数、冷却参数、试验类型、试验时序；</w:t>
      </w:r>
    </w:p>
    <w:p>
      <w:pPr>
        <w:numPr>
          <w:numId w:val="20"/>
        </w:numPr>
        <w:spacing w:before="120" w:after="120" w:line="288" w:lineRule="auto"/>
        <w:ind w:left="0"/>
        <w:jc w:val="left"/>
      </w:pPr>
      <w:r>
        <w:rPr>
          <w:rFonts w:eastAsia="等线" w:ascii="Arial" w:cs="Arial" w:hAnsi="Arial"/>
          <w:sz w:val="22"/>
        </w:rPr>
        <w:t>原始数据汇总表；</w:t>
      </w:r>
    </w:p>
    <w:p>
      <w:pPr>
        <w:numPr>
          <w:numId w:val="21"/>
        </w:numPr>
        <w:spacing w:before="120" w:after="120" w:line="288" w:lineRule="auto"/>
        <w:ind w:left="0"/>
        <w:jc w:val="left"/>
      </w:pPr>
      <w:r>
        <w:rPr>
          <w:rFonts w:eastAsia="等线" w:ascii="Arial" w:cs="Arial" w:hAnsi="Arial"/>
          <w:sz w:val="22"/>
        </w:rPr>
        <w:t>失效清单、失效现象、失效模式；</w:t>
      </w:r>
    </w:p>
    <w:p>
      <w:pPr>
        <w:numPr>
          <w:numId w:val="22"/>
        </w:numPr>
        <w:spacing w:before="120" w:after="120" w:line="288" w:lineRule="auto"/>
        <w:ind w:left="0"/>
        <w:jc w:val="left"/>
      </w:pPr>
      <w:r>
        <w:rPr>
          <w:rFonts w:eastAsia="等线" w:ascii="Arial" w:cs="Arial" w:hAnsi="Arial"/>
          <w:sz w:val="22"/>
        </w:rPr>
        <w:t>威布尔拟合曲线（如做B10评估）；</w:t>
      </w:r>
    </w:p>
    <w:p>
      <w:pPr>
        <w:numPr>
          <w:numId w:val="23"/>
        </w:numPr>
        <w:spacing w:before="120" w:after="120" w:line="288" w:lineRule="auto"/>
        <w:ind w:left="0"/>
        <w:jc w:val="left"/>
      </w:pPr>
      <w:r>
        <w:rPr>
          <w:rFonts w:eastAsia="等线" w:ascii="Arial" w:cs="Arial" w:hAnsi="Arial"/>
          <w:sz w:val="22"/>
        </w:rPr>
        <w:t>MTBF、B10寿命、启停循环寿命计算结果；</w:t>
      </w:r>
    </w:p>
    <w:p>
      <w:pPr>
        <w:numPr>
          <w:numId w:val="24"/>
        </w:numPr>
        <w:spacing w:before="120" w:after="120" w:line="288" w:lineRule="auto"/>
        <w:ind w:left="0"/>
        <w:jc w:val="left"/>
      </w:pPr>
      <w:r>
        <w:rPr>
          <w:rFonts w:eastAsia="等线" w:ascii="Arial" w:cs="Arial" w:hAnsi="Arial"/>
          <w:sz w:val="22"/>
        </w:rPr>
        <w:t>试验结论；</w:t>
      </w:r>
    </w:p>
    <w:p>
      <w:pPr>
        <w:numPr>
          <w:numId w:val="25"/>
        </w:numPr>
        <w:spacing w:before="120" w:after="120" w:line="288" w:lineRule="auto"/>
        <w:ind w:left="0"/>
        <w:jc w:val="left"/>
      </w:pPr>
      <w:r>
        <w:rPr>
          <w:rFonts w:eastAsia="等线" w:ascii="Arial" w:cs="Arial" w:hAnsi="Arial"/>
          <w:sz w:val="22"/>
        </w:rPr>
        <w:t>异常情况说明；</w:t>
      </w:r>
    </w:p>
    <w:p>
      <w:pPr>
        <w:numPr>
          <w:numId w:val="26"/>
        </w:numPr>
        <w:spacing w:before="120" w:after="120" w:line="288" w:lineRule="auto"/>
        <w:ind w:left="0"/>
        <w:jc w:val="left"/>
      </w:pPr>
      <w:r>
        <w:rPr>
          <w:rFonts w:eastAsia="等线" w:ascii="Arial" w:cs="Arial" w:hAnsi="Arial"/>
          <w:sz w:val="22"/>
        </w:rPr>
        <w:t>试验人员、审核人员、批准人员、日期；</w:t>
      </w:r>
    </w:p>
    <w:p>
      <w:pPr>
        <w:numPr>
          <w:numId w:val="27"/>
        </w:numPr>
        <w:spacing w:before="120" w:after="120" w:line="288" w:lineRule="auto"/>
        <w:ind w:left="0"/>
        <w:jc w:val="left"/>
      </w:pPr>
      <w:r>
        <w:rPr>
          <w:rFonts w:eastAsia="等线" w:ascii="Arial" w:cs="Arial" w:hAnsi="Arial"/>
          <w:sz w:val="22"/>
        </w:rPr>
        <w:t>附图（振动曲线、温升曲线、失效拆解照片，可选）。</w:t>
      </w:r>
    </w:p>
    <w:p>
      <w:pPr>
        <w:pStyle w:val="2"/>
        <w:spacing w:before="320" w:after="120" w:line="288" w:lineRule="auto"/>
        <w:ind w:left="0"/>
        <w:jc w:val="left"/>
        <w:outlineLvl w:val="1"/>
      </w:pPr>
      <w:bookmarkStart w:name="heading_37" w:id="37"/>
      <w:r>
        <w:rPr>
          <w:rFonts w:eastAsia="等线" w:ascii="Arial" w:cs="Arial" w:hAnsi="Arial"/>
          <w:b w:val="true"/>
          <w:sz w:val="32"/>
        </w:rPr>
        <w:t>附录A（资料性附录）试验原始记录表</w:t>
      </w:r>
      <w:bookmarkEnd w:id="37"/>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555"/>
        <w:gridCol w:w="555"/>
        <w:gridCol w:w="555"/>
        <w:gridCol w:w="555"/>
        <w:gridCol w:w="555"/>
        <w:gridCol w:w="555"/>
        <w:gridCol w:w="555"/>
        <w:gridCol w:w="555"/>
        <w:gridCol w:w="555"/>
        <w:gridCol w:w="555"/>
        <w:gridCol w:w="555"/>
        <w:gridCol w:w="555"/>
        <w:gridCol w:w="555"/>
        <w:gridCol w:w="555"/>
        <w:gridCol w:w="555"/>
      </w:tblGrid>
      <w:tr>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样品编号</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试验类型</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开始时间</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结束时间</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有效时长h</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累计循环数</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供气压力MPa</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供气流量L/min</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前轴承温度℃</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后轴承温度℃</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径向振动μm/s</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状态</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失效时刻</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失效模式</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备注</w:t>
            </w:r>
          </w:p>
        </w:tc>
      </w:tr>
      <w:tr>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55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bl>
    <w:p>
      <w:pPr>
        <w:pStyle w:val="2"/>
        <w:spacing w:before="320" w:after="120" w:line="288" w:lineRule="auto"/>
        <w:ind w:left="0"/>
        <w:jc w:val="left"/>
        <w:outlineLvl w:val="1"/>
      </w:pPr>
      <w:bookmarkStart w:name="heading_38" w:id="38"/>
      <w:r>
        <w:rPr>
          <w:rFonts w:eastAsia="等线" w:ascii="Arial" w:cs="Arial" w:hAnsi="Arial"/>
          <w:b w:val="true"/>
          <w:sz w:val="32"/>
        </w:rPr>
        <w:t>附录B（资料性附录）威布尔分布B10寿命计算示例</w:t>
      </w:r>
      <w:bookmarkEnd w:id="38"/>
    </w:p>
    <w:p>
      <w:pPr>
        <w:spacing w:before="120" w:after="120" w:line="288" w:lineRule="auto"/>
        <w:ind w:left="0"/>
        <w:jc w:val="left"/>
      </w:pPr>
      <w:r>
        <w:rPr>
          <w:rFonts w:eastAsia="等线" w:ascii="Arial" w:cs="Arial" w:hAnsi="Arial"/>
          <w:sz w:val="22"/>
        </w:rPr>
        <w:t>某组4台连续耐久试验样品，失效时间：2200 h、2860 h、3520 h，第4台5000 h截尾未失效；使用极大似然拟合得到β=2.12，η=3750 h</w:t>
      </w:r>
    </w:p>
    <w:p>
      <w:pPr>
        <w:spacing w:before="120" w:after="120" w:line="288" w:lineRule="auto"/>
        <w:ind w:left="0"/>
        <w:jc w:val="left"/>
      </w:pPr>
      <w:r>
        <w:rPr>
          <w:rFonts w:eastAsia="等线" w:ascii="Arial" w:cs="Arial" w:hAnsi="Arial"/>
          <w:sz w:val="22"/>
        </w:rPr>
      </w:r>
      <m:oMathPara>
        <m:oMathParaPr>
          <m:jc m:val="left"/>
        </m:oMathParaPr>
        <m:oMath xmlns:mml="http://www.w3.org/1998/Math/MathML">
          <m:r>
            <w:rPr>
              <w:rFonts w:ascii="Cambria Math" w:hAnsi="Cambria Math"/>
            </w:rPr>
            <m:t>B10=3750×(−</m:t>
          </m:r>
          <m:r>
            <m:rPr>
              <m:sty m:val="p"/>
            </m:rPr>
            <w:rPr>
              <w:rFonts w:ascii="Cambria Math" w:hAnsi="Cambria Math"/>
            </w:rPr>
            <m:t>ln</m:t>
          </m:r>
          <m:r>
            <w:rPr>
              <w:rFonts w:ascii="Cambria Math" w:hAnsi="Cambria Math"/>
            </w:rPr>
            <m:t>⁡0.9</m:t>
          </m:r>
          <m:sSup>
            <m:e>
              <m:r>
                <w:rPr>
                  <w:rFonts w:ascii="Cambria Math" w:hAnsi="Cambria Math"/>
                </w:rPr>
                <m:t>)</m:t>
              </m:r>
            </m:e>
            <m:sup>
              <m:r>
                <w:rPr>
                  <w:rFonts w:ascii="Cambria Math" w:hAnsi="Cambria Math"/>
                </w:rPr>
                <m:t>1</m:t>
              </m:r>
              <m:r>
                <w:rPr>
                  <w:rFonts w:ascii="Cambria Math" w:hAnsi="Cambria Math"/>
                </w:rPr>
                <m:t>/</m:t>
              </m:r>
              <m:r>
                <w:rPr>
                  <w:rFonts w:ascii="Cambria Math" w:hAnsi="Cambria Math"/>
                </w:rPr>
                <m:t>2.12</m:t>
              </m:r>
            </m:sup>
          </m:sSup>
          <m:r>
            <w:rPr>
              <w:rFonts w:ascii="Cambria Math" w:hAnsi="Cambria Math"/>
            </w:rPr>
            <m:t>≈1194</m:t>
          </m:r>
          <m:r>
            <m:rPr>
              <m:nor/>
            </m:rPr>
            <w:rPr>
              <w:rFonts w:ascii="Cambria Math" w:hAnsi="Cambria Math"/>
            </w:rPr>
            <m:t>h</m:t>
          </m:r>
        </m:oMath>
      </m:oMathPara>
    </w:p>
    <w:p>
      <w:pPr>
        <w:spacing w:before="120" w:after="120" w:line="288" w:lineRule="auto"/>
        <w:ind w:left="0"/>
        <w:jc w:val="left"/>
      </w:pPr>
      <w:r>
        <w:rPr>
          <w:rFonts w:eastAsia="等线" w:ascii="Arial" w:cs="Arial" w:hAnsi="Arial"/>
          <w:sz w:val="22"/>
        </w:rPr>
        <w:t>说明：B10寿命约1194 h，表示该批次在该试验工况下，预计10%产品在1194 h左右发生失效。</w:t>
      </w:r>
    </w:p>
    <w:p>
      <w:pPr>
        <w:pStyle w:val="1"/>
        <w:spacing w:before="380" w:after="140" w:line="288" w:lineRule="auto"/>
        <w:ind w:left="0"/>
        <w:jc w:val="left"/>
        <w:outlineLvl w:val="0"/>
      </w:pPr>
      <w:bookmarkStart w:name="heading_39" w:id="39"/>
      <w:r>
        <w:rPr>
          <w:rFonts w:eastAsia="等线" w:ascii="Arial" w:cs="Arial" w:hAnsi="Arial"/>
          <w:b w:val="true"/>
          <w:sz w:val="36"/>
        </w:rPr>
        <w:t>第二篇 气浮主轴气膜刚度与承载特性测试方法</w:t>
      </w:r>
      <w:bookmarkEnd w:id="39"/>
    </w:p>
    <w:p>
      <w:pPr>
        <w:pStyle w:val="2"/>
        <w:spacing w:before="320" w:after="120" w:line="288" w:lineRule="auto"/>
        <w:ind w:left="0"/>
        <w:jc w:val="left"/>
        <w:outlineLvl w:val="1"/>
      </w:pPr>
      <w:bookmarkStart w:name="heading_40" w:id="40"/>
      <w:r>
        <w:rPr>
          <w:rFonts w:eastAsia="等线" w:ascii="Arial" w:cs="Arial" w:hAnsi="Arial"/>
          <w:b w:val="true"/>
          <w:sz w:val="32"/>
        </w:rPr>
        <w:t>1 范围</w:t>
      </w:r>
      <w:bookmarkEnd w:id="40"/>
    </w:p>
    <w:p>
      <w:pPr>
        <w:spacing w:before="120" w:after="120" w:line="288" w:lineRule="auto"/>
        <w:ind w:left="0"/>
        <w:jc w:val="left"/>
      </w:pPr>
      <w:r>
        <w:rPr>
          <w:rFonts w:eastAsia="等线" w:ascii="Arial" w:cs="Arial" w:hAnsi="Arial"/>
          <w:sz w:val="22"/>
        </w:rPr>
        <w:t>本文件规定了空气静压气浮主轴（含PCB钻孔、超精密加工用集成式气浮电主轴）气膜刚度、静态承载力、动态承载特性、偏移特性、滞回特性的测试原理、设备要求、试验条件、测试步骤、数据处理及结果评定方法。</w:t>
      </w:r>
    </w:p>
    <w:p>
      <w:pPr>
        <w:spacing w:before="120" w:after="120" w:line="288" w:lineRule="auto"/>
        <w:ind w:left="0"/>
        <w:jc w:val="left"/>
      </w:pPr>
      <w:r>
        <w:rPr>
          <w:rFonts w:eastAsia="等线" w:ascii="Arial" w:cs="Arial" w:hAnsi="Arial"/>
          <w:sz w:val="22"/>
        </w:rPr>
        <w:t>本文件适用于小孔节流、多孔质节流、缝隙节流结构的超高速空气静压径向气浮主轴、止推气浮主轴及主轴总成的静态、准静态承载性能测试。其他类型气体润滑主轴、低速气浮支撑机构可参照执行。</w:t>
      </w:r>
    </w:p>
    <w:p>
      <w:pPr>
        <w:spacing w:before="120" w:after="120" w:line="288" w:lineRule="auto"/>
        <w:ind w:left="0"/>
        <w:jc w:val="left"/>
      </w:pPr>
      <w:r>
        <w:rPr>
          <w:rFonts w:eastAsia="等线" w:ascii="Arial" w:cs="Arial" w:hAnsi="Arial"/>
          <w:sz w:val="22"/>
        </w:rPr>
        <w:t>本文件不适用于气体动压轴承、液体静压轴承、滚动轴承主轴的刚度与承载力测试。</w:t>
      </w:r>
    </w:p>
    <w:p>
      <w:pPr>
        <w:pStyle w:val="2"/>
        <w:spacing w:before="320" w:after="120" w:line="288" w:lineRule="auto"/>
        <w:ind w:left="0"/>
        <w:jc w:val="left"/>
        <w:outlineLvl w:val="1"/>
      </w:pPr>
      <w:bookmarkStart w:name="heading_41" w:id="41"/>
      <w:r>
        <w:rPr>
          <w:rFonts w:eastAsia="等线" w:ascii="Arial" w:cs="Arial" w:hAnsi="Arial"/>
          <w:b w:val="true"/>
          <w:sz w:val="32"/>
        </w:rPr>
        <w:t>2 规范性引用文件</w:t>
      </w:r>
      <w:bookmarkEnd w:id="41"/>
    </w:p>
    <w:p>
      <w:pPr>
        <w:spacing w:before="120" w:after="120" w:line="288" w:lineRule="auto"/>
        <w:ind w:left="0"/>
        <w:jc w:val="left"/>
      </w:pPr>
      <w:r>
        <w:rPr>
          <w:rFonts w:eastAsia="等线" w:ascii="Arial" w:cs="Arial" w:hAnsi="Arial"/>
          <w:sz w:val="22"/>
        </w:rPr>
        <w:t>下列文件中的内容通过文中的规范性引用而构成本文件必不可少的条款。其中，注日期的引用文件，仅该日期对应的版本适用于本文件；不注日期的引用文件，其最新版本（包括所有的修改单）适用于本文件。</w:t>
      </w:r>
    </w:p>
    <w:p>
      <w:pPr>
        <w:numPr>
          <w:numId w:val="28"/>
        </w:numPr>
        <w:spacing w:before="120" w:after="120" w:line="288" w:lineRule="auto"/>
        <w:ind w:left="0"/>
        <w:jc w:val="left"/>
      </w:pPr>
      <w:r>
        <w:rPr>
          <w:rFonts w:eastAsia="等线" w:ascii="Arial" w:cs="Arial" w:hAnsi="Arial"/>
          <w:sz w:val="22"/>
        </w:rPr>
        <w:t>GB/T 6075.3 机械振动 在非旋转部件上测量和评价机器振动 第3部分：工业机器</w:t>
      </w:r>
    </w:p>
    <w:p>
      <w:pPr>
        <w:numPr>
          <w:numId w:val="29"/>
        </w:numPr>
        <w:spacing w:before="120" w:after="120" w:line="288" w:lineRule="auto"/>
        <w:ind w:left="0"/>
        <w:jc w:val="left"/>
      </w:pPr>
      <w:r>
        <w:rPr>
          <w:rFonts w:eastAsia="等线" w:ascii="Arial" w:cs="Arial" w:hAnsi="Arial"/>
          <w:sz w:val="22"/>
        </w:rPr>
        <w:t>GB/T 17626.1 电磁兼容 试验和测量技术 抗扰度试验总论</w:t>
      </w:r>
    </w:p>
    <w:p>
      <w:pPr>
        <w:numPr>
          <w:numId w:val="30"/>
        </w:numPr>
        <w:spacing w:before="120" w:after="120" w:line="288" w:lineRule="auto"/>
        <w:ind w:left="0"/>
        <w:jc w:val="left"/>
      </w:pPr>
      <w:r>
        <w:rPr>
          <w:rFonts w:eastAsia="等线" w:ascii="Arial" w:cs="Arial" w:hAnsi="Arial"/>
          <w:sz w:val="22"/>
        </w:rPr>
        <w:t>GB/T 40116-2021 箔片轴承 气体动压径向轴承性能 静态承载能力、摩擦因数和寿命测试</w:t>
      </w:r>
    </w:p>
    <w:p>
      <w:pPr>
        <w:numPr>
          <w:numId w:val="31"/>
        </w:numPr>
        <w:spacing w:before="120" w:after="120" w:line="288" w:lineRule="auto"/>
        <w:ind w:left="0"/>
        <w:jc w:val="left"/>
      </w:pPr>
      <w:r>
        <w:rPr>
          <w:rFonts w:eastAsia="等线" w:ascii="Arial" w:cs="Arial" w:hAnsi="Arial"/>
          <w:sz w:val="22"/>
        </w:rPr>
        <w:t>JB/T 13826-2020 电主轴 性能试验规范</w:t>
      </w:r>
    </w:p>
    <w:p>
      <w:pPr>
        <w:numPr>
          <w:numId w:val="32"/>
        </w:numPr>
        <w:spacing w:before="120" w:after="120" w:line="288" w:lineRule="auto"/>
        <w:ind w:left="0"/>
        <w:jc w:val="left"/>
      </w:pPr>
      <w:r>
        <w:rPr>
          <w:rFonts w:eastAsia="等线" w:ascii="Arial" w:cs="Arial" w:hAnsi="Arial"/>
          <w:sz w:val="22"/>
        </w:rPr>
        <w:t>ISO 8573-1 压缩空气 第1部分：污染物和纯度等级</w:t>
      </w:r>
    </w:p>
    <w:p>
      <w:pPr>
        <w:pStyle w:val="2"/>
        <w:spacing w:before="320" w:after="120" w:line="288" w:lineRule="auto"/>
        <w:ind w:left="0"/>
        <w:jc w:val="left"/>
        <w:outlineLvl w:val="1"/>
      </w:pPr>
      <w:bookmarkStart w:name="heading_42" w:id="42"/>
      <w:r>
        <w:rPr>
          <w:rFonts w:eastAsia="等线" w:ascii="Arial" w:cs="Arial" w:hAnsi="Arial"/>
          <w:b w:val="true"/>
          <w:sz w:val="32"/>
        </w:rPr>
        <w:t>3 术语和定义</w:t>
      </w:r>
      <w:bookmarkEnd w:id="42"/>
    </w:p>
    <w:p>
      <w:pPr>
        <w:spacing w:before="120" w:after="120" w:line="288" w:lineRule="auto"/>
        <w:ind w:left="0"/>
        <w:jc w:val="left"/>
      </w:pPr>
      <w:r>
        <w:rPr>
          <w:rFonts w:eastAsia="等线" w:ascii="Arial" w:cs="Arial" w:hAnsi="Arial"/>
          <w:sz w:val="22"/>
        </w:rPr>
        <w:t>下列术语和定义适用于本文件。</w:t>
      </w:r>
    </w:p>
    <w:p>
      <w:pPr>
        <w:pStyle w:val="3"/>
        <w:spacing w:before="300" w:after="120" w:line="288" w:lineRule="auto"/>
        <w:ind w:left="0"/>
        <w:jc w:val="left"/>
        <w:outlineLvl w:val="2"/>
      </w:pPr>
      <w:bookmarkStart w:name="heading_43" w:id="43"/>
      <w:r>
        <w:rPr>
          <w:rFonts w:eastAsia="等线" w:ascii="Arial" w:cs="Arial" w:hAnsi="Arial"/>
          <w:b w:val="true"/>
          <w:sz w:val="30"/>
        </w:rPr>
        <w:t>3.1 气膜厚度</w:t>
      </w:r>
      <w:bookmarkEnd w:id="43"/>
    </w:p>
    <w:p>
      <w:pPr>
        <w:spacing w:before="120" w:after="120" w:line="288" w:lineRule="auto"/>
        <w:ind w:left="0"/>
        <w:jc w:val="left"/>
      </w:pPr>
      <w:r>
        <w:rPr>
          <w:rFonts w:eastAsia="等线" w:ascii="Arial" w:cs="Arial" w:hAnsi="Arial"/>
          <w:sz w:val="22"/>
        </w:rPr>
        <w:t>转子与轴承支撑面之间由压缩空气形成的气膜间隙厚度，单位：μm。</w:t>
      </w:r>
    </w:p>
    <w:p>
      <w:pPr>
        <w:pStyle w:val="3"/>
        <w:spacing w:before="300" w:after="120" w:line="288" w:lineRule="auto"/>
        <w:ind w:left="0"/>
        <w:jc w:val="left"/>
        <w:outlineLvl w:val="2"/>
      </w:pPr>
      <w:bookmarkStart w:name="heading_44" w:id="44"/>
      <w:r>
        <w:rPr>
          <w:rFonts w:eastAsia="等线" w:ascii="Arial" w:cs="Arial" w:hAnsi="Arial"/>
          <w:b w:val="true"/>
          <w:sz w:val="30"/>
        </w:rPr>
        <w:t>3.2 气膜刚度</w:t>
      </w:r>
      <w:bookmarkEnd w:id="44"/>
    </w:p>
    <w:p>
      <w:pPr>
        <w:spacing w:before="120" w:after="120" w:line="288" w:lineRule="auto"/>
        <w:ind w:left="0"/>
        <w:jc w:val="left"/>
      </w:pPr>
      <w:r>
        <w:rPr>
          <w:rFonts w:eastAsia="等线" w:ascii="Arial" w:cs="Arial" w:hAnsi="Arial"/>
          <w:sz w:val="22"/>
        </w:rPr>
        <w:t>气浮轴承在额定供气条件下，单位位移变化对应的载荷变化量，表征气膜抵抗外力变形的能力，分为径向气膜刚度、轴向气膜刚度，单位：N/μm。</w:t>
      </w:r>
    </w:p>
    <w:p>
      <w:pPr>
        <w:pStyle w:val="3"/>
        <w:spacing w:before="300" w:after="120" w:line="288" w:lineRule="auto"/>
        <w:ind w:left="0"/>
        <w:jc w:val="left"/>
        <w:outlineLvl w:val="2"/>
      </w:pPr>
      <w:bookmarkStart w:name="heading_45" w:id="45"/>
      <w:r>
        <w:rPr>
          <w:rFonts w:eastAsia="等线" w:ascii="Arial" w:cs="Arial" w:hAnsi="Arial"/>
          <w:b w:val="true"/>
          <w:sz w:val="30"/>
        </w:rPr>
        <w:t>3.3 静态承载力</w:t>
      </w:r>
      <w:bookmarkEnd w:id="45"/>
    </w:p>
    <w:p>
      <w:pPr>
        <w:spacing w:before="120" w:after="120" w:line="288" w:lineRule="auto"/>
        <w:ind w:left="0"/>
        <w:jc w:val="left"/>
      </w:pPr>
      <w:r>
        <w:rPr>
          <w:rFonts w:eastAsia="等线" w:ascii="Arial" w:cs="Arial" w:hAnsi="Arial"/>
          <w:sz w:val="22"/>
        </w:rPr>
        <w:t>主轴静止状态下，气膜保持稳定悬浮、无碰磨、无刚度突变时所能承受的最大径向/轴向静态载荷。</w:t>
      </w:r>
    </w:p>
    <w:p>
      <w:pPr>
        <w:pStyle w:val="3"/>
        <w:spacing w:before="300" w:after="120" w:line="288" w:lineRule="auto"/>
        <w:ind w:left="0"/>
        <w:jc w:val="left"/>
        <w:outlineLvl w:val="2"/>
      </w:pPr>
      <w:bookmarkStart w:name="heading_46" w:id="46"/>
      <w:r>
        <w:rPr>
          <w:rFonts w:eastAsia="等线" w:ascii="Arial" w:cs="Arial" w:hAnsi="Arial"/>
          <w:b w:val="true"/>
          <w:sz w:val="30"/>
        </w:rPr>
        <w:t>3.4 准动态承载特性</w:t>
      </w:r>
      <w:bookmarkEnd w:id="46"/>
    </w:p>
    <w:p>
      <w:pPr>
        <w:spacing w:before="120" w:after="120" w:line="288" w:lineRule="auto"/>
        <w:ind w:left="0"/>
        <w:jc w:val="left"/>
      </w:pPr>
      <w:r>
        <w:rPr>
          <w:rFonts w:eastAsia="等线" w:ascii="Arial" w:cs="Arial" w:hAnsi="Arial"/>
          <w:sz w:val="22"/>
        </w:rPr>
        <w:t>主轴额定转速稳态运转条件下，逐级施加静态载荷，获得的刚度、偏移量、极限承载能力特性，模拟实际加工受力状态。</w:t>
      </w:r>
    </w:p>
    <w:p>
      <w:pPr>
        <w:pStyle w:val="3"/>
        <w:spacing w:before="300" w:after="120" w:line="288" w:lineRule="auto"/>
        <w:ind w:left="0"/>
        <w:jc w:val="left"/>
        <w:outlineLvl w:val="2"/>
      </w:pPr>
      <w:bookmarkStart w:name="heading_47" w:id="47"/>
      <w:r>
        <w:rPr>
          <w:rFonts w:eastAsia="等线" w:ascii="Arial" w:cs="Arial" w:hAnsi="Arial"/>
          <w:b w:val="true"/>
          <w:sz w:val="30"/>
        </w:rPr>
        <w:t>3.5 刚度滞回特性</w:t>
      </w:r>
      <w:bookmarkEnd w:id="47"/>
    </w:p>
    <w:p>
      <w:pPr>
        <w:spacing w:before="120" w:after="120" w:line="288" w:lineRule="auto"/>
        <w:ind w:left="0"/>
        <w:jc w:val="left"/>
      </w:pPr>
      <w:r>
        <w:rPr>
          <w:rFonts w:eastAsia="等线" w:ascii="Arial" w:cs="Arial" w:hAnsi="Arial"/>
          <w:sz w:val="22"/>
        </w:rPr>
        <w:t>正向加载与反向卸载过程中，相同位移对应的承载力差值，反映气膜阻尼、气流迟滞带来的性能非线性偏差。</w:t>
      </w:r>
    </w:p>
    <w:p>
      <w:pPr>
        <w:pStyle w:val="3"/>
        <w:spacing w:before="300" w:after="120" w:line="288" w:lineRule="auto"/>
        <w:ind w:left="0"/>
        <w:jc w:val="left"/>
        <w:outlineLvl w:val="2"/>
      </w:pPr>
      <w:bookmarkStart w:name="heading_48" w:id="48"/>
      <w:r>
        <w:rPr>
          <w:rFonts w:eastAsia="等线" w:ascii="Arial" w:cs="Arial" w:hAnsi="Arial"/>
          <w:b w:val="true"/>
          <w:sz w:val="30"/>
        </w:rPr>
        <w:t>3.6 临界失稳载荷</w:t>
      </w:r>
      <w:bookmarkEnd w:id="48"/>
    </w:p>
    <w:p>
      <w:pPr>
        <w:spacing w:before="120" w:after="120" w:line="288" w:lineRule="auto"/>
        <w:ind w:left="0"/>
        <w:jc w:val="left"/>
      </w:pPr>
      <w:r>
        <w:rPr>
          <w:rFonts w:eastAsia="等线" w:ascii="Arial" w:cs="Arial" w:hAnsi="Arial"/>
          <w:sz w:val="22"/>
        </w:rPr>
        <w:t>随载荷增大，气膜刚度急剧下降、位移突变、振动激增，气膜即将失效时的极限载荷。</w:t>
      </w:r>
    </w:p>
    <w:p>
      <w:pPr>
        <w:pStyle w:val="2"/>
        <w:spacing w:before="320" w:after="120" w:line="288" w:lineRule="auto"/>
        <w:ind w:left="0"/>
        <w:jc w:val="left"/>
        <w:outlineLvl w:val="1"/>
      </w:pPr>
      <w:bookmarkStart w:name="heading_49" w:id="49"/>
      <w:r>
        <w:rPr>
          <w:rFonts w:eastAsia="等线" w:ascii="Arial" w:cs="Arial" w:hAnsi="Arial"/>
          <w:b w:val="true"/>
          <w:sz w:val="32"/>
        </w:rPr>
        <w:t>4 测试原理</w:t>
      </w:r>
      <w:bookmarkEnd w:id="49"/>
    </w:p>
    <w:p>
      <w:pPr>
        <w:spacing w:before="120" w:after="120" w:line="288" w:lineRule="auto"/>
        <w:ind w:left="0"/>
        <w:jc w:val="left"/>
      </w:pPr>
      <w:r>
        <w:rPr>
          <w:rFonts w:eastAsia="等线" w:ascii="Arial" w:cs="Arial" w:hAnsi="Arial"/>
          <w:sz w:val="22"/>
        </w:rPr>
        <w:t>在恒定洁净供气、恒定环境、恒定温度工况下，对气浮主轴转子施加分级可控径向载荷/轴向载荷，通过高精度非接触位移传感器实时采集转子偏移量，同步记录加载力值。</w:t>
      </w:r>
    </w:p>
    <w:p>
      <w:pPr>
        <w:spacing w:before="120" w:after="120" w:line="288" w:lineRule="auto"/>
        <w:ind w:left="0"/>
        <w:jc w:val="left"/>
      </w:pPr>
      <w:r>
        <w:rPr>
          <w:rFonts w:eastAsia="等线" w:ascii="Arial" w:cs="Arial" w:hAnsi="Arial"/>
          <w:sz w:val="22"/>
        </w:rPr>
        <w:t>通过“载荷—位移”对应关系，计算不同供气压力、不同转速工况下的气膜刚度、静态承载力、线性度、滞回误差、临界失稳载荷，绘制承载特性曲线，实现气浮主轴支撑性能的定量测试与评价。</w:t>
      </w:r>
    </w:p>
    <w:p>
      <w:pPr>
        <w:pStyle w:val="2"/>
        <w:spacing w:before="320" w:after="120" w:line="288" w:lineRule="auto"/>
        <w:ind w:left="0"/>
        <w:jc w:val="left"/>
        <w:outlineLvl w:val="1"/>
      </w:pPr>
      <w:bookmarkStart w:name="heading_50" w:id="50"/>
      <w:r>
        <w:rPr>
          <w:rFonts w:eastAsia="等线" w:ascii="Arial" w:cs="Arial" w:hAnsi="Arial"/>
          <w:b w:val="true"/>
          <w:sz w:val="32"/>
        </w:rPr>
        <w:t>5 测试设备、工装及仪器仪表</w:t>
      </w:r>
      <w:bookmarkEnd w:id="50"/>
    </w:p>
    <w:p>
      <w:pPr>
        <w:pStyle w:val="3"/>
        <w:spacing w:before="300" w:after="120" w:line="288" w:lineRule="auto"/>
        <w:ind w:left="0"/>
        <w:jc w:val="left"/>
        <w:outlineLvl w:val="2"/>
      </w:pPr>
      <w:bookmarkStart w:name="heading_51" w:id="51"/>
      <w:r>
        <w:rPr>
          <w:rFonts w:eastAsia="等线" w:ascii="Arial" w:cs="Arial" w:hAnsi="Arial"/>
          <w:b w:val="true"/>
          <w:sz w:val="30"/>
        </w:rPr>
        <w:t>5.1 整体试验台要求</w:t>
      </w:r>
      <w:bookmarkEnd w:id="51"/>
    </w:p>
    <w:p>
      <w:pPr>
        <w:spacing w:before="120" w:after="120" w:line="288" w:lineRule="auto"/>
        <w:ind w:left="0"/>
        <w:jc w:val="left"/>
      </w:pPr>
      <w:r>
        <w:rPr>
          <w:rFonts w:eastAsia="等线" w:ascii="Arial" w:cs="Arial" w:hAnsi="Arial"/>
          <w:sz w:val="22"/>
        </w:rPr>
        <w:t>5.1.1 试验台底座高刚性、低变形，整体固有频率远离主轴测试振动频段，无共振干扰。</w:t>
      </w:r>
    </w:p>
    <w:p>
      <w:pPr>
        <w:spacing w:before="120" w:after="120" w:line="288" w:lineRule="auto"/>
        <w:ind w:left="0"/>
        <w:jc w:val="left"/>
      </w:pPr>
      <w:r>
        <w:rPr>
          <w:rFonts w:eastAsia="等线" w:ascii="Arial" w:cs="Arial" w:hAnsi="Arial"/>
          <w:sz w:val="22"/>
        </w:rPr>
        <w:t>5.1.2 工装定位精度高，主轴安装垂直度、同轴度误差≤2 μm，保证加载力与被测方向严格重合，无附加偏载力矩。</w:t>
      </w:r>
    </w:p>
    <w:p>
      <w:pPr>
        <w:spacing w:before="120" w:after="120" w:line="288" w:lineRule="auto"/>
        <w:ind w:left="0"/>
        <w:jc w:val="left"/>
      </w:pPr>
      <w:r>
        <w:rPr>
          <w:rFonts w:eastAsia="等线" w:ascii="Arial" w:cs="Arial" w:hAnsi="Arial"/>
          <w:sz w:val="22"/>
        </w:rPr>
        <w:t>5.1.3 具备安全限位结构，防止过载导致转子、轴承碰磨损伤。</w:t>
      </w:r>
    </w:p>
    <w:p>
      <w:pPr>
        <w:pStyle w:val="3"/>
        <w:spacing w:before="300" w:after="120" w:line="288" w:lineRule="auto"/>
        <w:ind w:left="0"/>
        <w:jc w:val="left"/>
        <w:outlineLvl w:val="2"/>
      </w:pPr>
      <w:bookmarkStart w:name="heading_52" w:id="52"/>
      <w:r>
        <w:rPr>
          <w:rFonts w:eastAsia="等线" w:ascii="Arial" w:cs="Arial" w:hAnsi="Arial"/>
          <w:b w:val="true"/>
          <w:sz w:val="30"/>
        </w:rPr>
        <w:t>5.2 精密加载系统</w:t>
      </w:r>
      <w:bookmarkEnd w:id="52"/>
    </w:p>
    <w:p>
      <w:pPr>
        <w:spacing w:before="120" w:after="120" w:line="288" w:lineRule="auto"/>
        <w:ind w:left="0"/>
        <w:jc w:val="left"/>
      </w:pPr>
      <w:r>
        <w:rPr>
          <w:rFonts w:eastAsia="等线" w:ascii="Arial" w:cs="Arial" w:hAnsi="Arial"/>
          <w:sz w:val="22"/>
        </w:rPr>
        <w:t>5.2.1 采用电动伺服分级加载机构，可实现微载荷连续精准加载、保载、卸载。</w:t>
      </w:r>
    </w:p>
    <w:p>
      <w:pPr>
        <w:spacing w:before="120" w:after="120" w:line="288" w:lineRule="auto"/>
        <w:ind w:left="0"/>
        <w:jc w:val="left"/>
      </w:pPr>
      <w:r>
        <w:rPr>
          <w:rFonts w:eastAsia="等线" w:ascii="Arial" w:cs="Arial" w:hAnsi="Arial"/>
          <w:sz w:val="22"/>
        </w:rPr>
        <w:t>5.2.2 加载量程覆盖主轴额定承载力0~150%，预留失稳测试裕量。</w:t>
      </w:r>
    </w:p>
    <w:p>
      <w:pPr>
        <w:spacing w:before="120" w:after="120" w:line="288" w:lineRule="auto"/>
        <w:ind w:left="0"/>
        <w:jc w:val="left"/>
      </w:pPr>
      <w:r>
        <w:rPr>
          <w:rFonts w:eastAsia="等线" w:ascii="Arial" w:cs="Arial" w:hAnsi="Arial"/>
          <w:sz w:val="22"/>
        </w:rPr>
        <w:t>5.2.3 力传感器精度≥0.3级，采样分辨率0.1 N，可实时连续记录加载力值。</w:t>
      </w:r>
    </w:p>
    <w:p>
      <w:pPr>
        <w:spacing w:before="120" w:after="120" w:line="288" w:lineRule="auto"/>
        <w:ind w:left="0"/>
        <w:jc w:val="left"/>
      </w:pPr>
      <w:r>
        <w:rPr>
          <w:rFonts w:eastAsia="等线" w:ascii="Arial" w:cs="Arial" w:hAnsi="Arial"/>
          <w:sz w:val="22"/>
        </w:rPr>
        <w:t>5.2.4 可实现匀速缓慢加载，避免冲击载荷导致气膜瞬时扰动。</w:t>
      </w:r>
    </w:p>
    <w:p>
      <w:pPr>
        <w:pStyle w:val="3"/>
        <w:spacing w:before="300" w:after="120" w:line="288" w:lineRule="auto"/>
        <w:ind w:left="0"/>
        <w:jc w:val="left"/>
        <w:outlineLvl w:val="2"/>
      </w:pPr>
      <w:bookmarkStart w:name="heading_53" w:id="53"/>
      <w:r>
        <w:rPr>
          <w:rFonts w:eastAsia="等线" w:ascii="Arial" w:cs="Arial" w:hAnsi="Arial"/>
          <w:b w:val="true"/>
          <w:sz w:val="30"/>
        </w:rPr>
        <w:t>5.3 位移测试系统</w:t>
      </w:r>
      <w:bookmarkEnd w:id="53"/>
    </w:p>
    <w:p>
      <w:pPr>
        <w:spacing w:before="120" w:after="120" w:line="288" w:lineRule="auto"/>
        <w:ind w:left="0"/>
        <w:jc w:val="left"/>
      </w:pPr>
      <w:r>
        <w:rPr>
          <w:rFonts w:eastAsia="等线" w:ascii="Arial" w:cs="Arial" w:hAnsi="Arial"/>
          <w:sz w:val="22"/>
        </w:rPr>
        <w:t>5.3.1 采用电容式非接触位移传感器，量程适配气膜偏移范围，分辨率≥0.01 μm。</w:t>
      </w:r>
    </w:p>
    <w:p>
      <w:pPr>
        <w:spacing w:before="120" w:after="120" w:line="288" w:lineRule="auto"/>
        <w:ind w:left="0"/>
        <w:jc w:val="left"/>
      </w:pPr>
      <w:r>
        <w:rPr>
          <w:rFonts w:eastAsia="等线" w:ascii="Arial" w:cs="Arial" w:hAnsi="Arial"/>
          <w:sz w:val="22"/>
        </w:rPr>
        <w:t>5.3.2 径向测试布置X、Y双向正交测点，轴向布置单点高精度测点。</w:t>
      </w:r>
    </w:p>
    <w:p>
      <w:pPr>
        <w:spacing w:before="120" w:after="120" w:line="288" w:lineRule="auto"/>
        <w:ind w:left="0"/>
        <w:jc w:val="left"/>
      </w:pPr>
      <w:r>
        <w:rPr>
          <w:rFonts w:eastAsia="等线" w:ascii="Arial" w:cs="Arial" w:hAnsi="Arial"/>
          <w:sz w:val="22"/>
        </w:rPr>
        <w:t>5.3.3 传感器温漂小、抗干扰能力强，全程实时采集转子微位移变化。</w:t>
      </w:r>
    </w:p>
    <w:p>
      <w:pPr>
        <w:pStyle w:val="3"/>
        <w:spacing w:before="300" w:after="120" w:line="288" w:lineRule="auto"/>
        <w:ind w:left="0"/>
        <w:jc w:val="left"/>
        <w:outlineLvl w:val="2"/>
      </w:pPr>
      <w:bookmarkStart w:name="heading_54" w:id="54"/>
      <w:r>
        <w:rPr>
          <w:rFonts w:eastAsia="等线" w:ascii="Arial" w:cs="Arial" w:hAnsi="Arial"/>
          <w:b w:val="true"/>
          <w:sz w:val="30"/>
        </w:rPr>
        <w:t>5.4 供气系统</w:t>
      </w:r>
      <w:bookmarkEnd w:id="54"/>
    </w:p>
    <w:p>
      <w:pPr>
        <w:spacing w:before="120" w:after="120" w:line="288" w:lineRule="auto"/>
        <w:ind w:left="0"/>
        <w:jc w:val="left"/>
      </w:pPr>
      <w:r>
        <w:rPr>
          <w:rFonts w:eastAsia="等线" w:ascii="Arial" w:cs="Arial" w:hAnsi="Arial"/>
          <w:sz w:val="22"/>
        </w:rPr>
        <w:t>5.4.1 压缩空气系统满足ISO 8573-1 Class 2洁净等级，无水、无油、无固体杂质。</w:t>
      </w:r>
    </w:p>
    <w:p>
      <w:pPr>
        <w:spacing w:before="120" w:after="120" w:line="288" w:lineRule="auto"/>
        <w:ind w:left="0"/>
        <w:jc w:val="left"/>
      </w:pPr>
      <w:r>
        <w:rPr>
          <w:rFonts w:eastAsia="等线" w:ascii="Arial" w:cs="Arial" w:hAnsi="Arial"/>
          <w:sz w:val="22"/>
        </w:rPr>
        <w:t>5.4.2 精密稳压调压系统，压力调节精度±0.005 MPa，试验全程压力恒定无波动。</w:t>
      </w:r>
    </w:p>
    <w:p>
      <w:pPr>
        <w:spacing w:before="120" w:after="120" w:line="288" w:lineRule="auto"/>
        <w:ind w:left="0"/>
        <w:jc w:val="left"/>
      </w:pPr>
      <w:r>
        <w:rPr>
          <w:rFonts w:eastAsia="等线" w:ascii="Arial" w:cs="Arial" w:hAnsi="Arial"/>
          <w:sz w:val="22"/>
        </w:rPr>
        <w:t>5.4.3 配备高精度流量计、压力传感器，实时监测供气参数。</w:t>
      </w:r>
    </w:p>
    <w:p>
      <w:pPr>
        <w:pStyle w:val="3"/>
        <w:spacing w:before="300" w:after="120" w:line="288" w:lineRule="auto"/>
        <w:ind w:left="0"/>
        <w:jc w:val="left"/>
        <w:outlineLvl w:val="2"/>
      </w:pPr>
      <w:bookmarkStart w:name="heading_55" w:id="55"/>
      <w:r>
        <w:rPr>
          <w:rFonts w:eastAsia="等线" w:ascii="Arial" w:cs="Arial" w:hAnsi="Arial"/>
          <w:b w:val="true"/>
          <w:sz w:val="30"/>
        </w:rPr>
        <w:t>5.5 驱动与冷却系统</w:t>
      </w:r>
      <w:bookmarkEnd w:id="55"/>
    </w:p>
    <w:p>
      <w:pPr>
        <w:spacing w:before="120" w:after="120" w:line="288" w:lineRule="auto"/>
        <w:ind w:left="0"/>
        <w:jc w:val="left"/>
      </w:pPr>
      <w:r>
        <w:rPr>
          <w:rFonts w:eastAsia="等线" w:ascii="Arial" w:cs="Arial" w:hAnsi="Arial"/>
          <w:sz w:val="22"/>
        </w:rPr>
        <w:t>5.5.1 电主轴配套高频变频驱动，转速稳定精度≤±0.5%FS，可实现静止、中速、额定超高速稳态运行。</w:t>
      </w:r>
    </w:p>
    <w:p>
      <w:pPr>
        <w:spacing w:before="120" w:after="120" w:line="288" w:lineRule="auto"/>
        <w:ind w:left="0"/>
        <w:jc w:val="left"/>
      </w:pPr>
      <w:r>
        <w:rPr>
          <w:rFonts w:eastAsia="等线" w:ascii="Arial" w:cs="Arial" w:hAnsi="Arial"/>
          <w:sz w:val="22"/>
        </w:rPr>
        <w:t>5.5.2 冷却系统恒温控制，控温精度±1 ℃，保证试验过程热变形稳定。</w:t>
      </w:r>
    </w:p>
    <w:p>
      <w:pPr>
        <w:pStyle w:val="3"/>
        <w:spacing w:before="300" w:after="120" w:line="288" w:lineRule="auto"/>
        <w:ind w:left="0"/>
        <w:jc w:val="left"/>
        <w:outlineLvl w:val="2"/>
      </w:pPr>
      <w:bookmarkStart w:name="heading_56" w:id="56"/>
      <w:r>
        <w:rPr>
          <w:rFonts w:eastAsia="等线" w:ascii="Arial" w:cs="Arial" w:hAnsi="Arial"/>
          <w:b w:val="true"/>
          <w:sz w:val="30"/>
        </w:rPr>
        <w:t>5.6 数据采集系统</w:t>
      </w:r>
      <w:bookmarkEnd w:id="56"/>
    </w:p>
    <w:p>
      <w:pPr>
        <w:spacing w:before="120" w:after="120" w:line="288" w:lineRule="auto"/>
        <w:ind w:left="0"/>
        <w:jc w:val="left"/>
      </w:pPr>
      <w:r>
        <w:rPr>
          <w:rFonts w:eastAsia="等线" w:ascii="Arial" w:cs="Arial" w:hAnsi="Arial"/>
          <w:sz w:val="22"/>
        </w:rPr>
        <w:t>多通道同步采集力值、位移、供气压力、流量、温度信号，采样频率≥1 kHz，数据连续存储、可追溯、不可篡改。</w:t>
      </w:r>
    </w:p>
    <w:p>
      <w:pPr>
        <w:pStyle w:val="2"/>
        <w:spacing w:before="320" w:after="120" w:line="288" w:lineRule="auto"/>
        <w:ind w:left="0"/>
        <w:jc w:val="left"/>
        <w:outlineLvl w:val="1"/>
      </w:pPr>
      <w:bookmarkStart w:name="heading_57" w:id="57"/>
      <w:r>
        <w:rPr>
          <w:rFonts w:eastAsia="等线" w:ascii="Arial" w:cs="Arial" w:hAnsi="Arial"/>
          <w:b w:val="true"/>
          <w:sz w:val="32"/>
        </w:rPr>
        <w:t>6 测试环境与供气条件</w:t>
      </w:r>
      <w:bookmarkEnd w:id="57"/>
    </w:p>
    <w:p>
      <w:pPr>
        <w:spacing w:before="120" w:after="120" w:line="288" w:lineRule="auto"/>
        <w:ind w:left="0"/>
        <w:jc w:val="left"/>
      </w:pPr>
      <w:r>
        <w:rPr>
          <w:rFonts w:eastAsia="等线" w:ascii="Arial" w:cs="Arial" w:hAnsi="Arial"/>
          <w:sz w:val="22"/>
        </w:rPr>
        <w:t>6.1 环境温度：20 ℃±5 ℃，温度变化速率≤2 ℃/h。</w:t>
      </w:r>
    </w:p>
    <w:p>
      <w:pPr>
        <w:spacing w:before="120" w:after="120" w:line="288" w:lineRule="auto"/>
        <w:ind w:left="0"/>
        <w:jc w:val="left"/>
      </w:pPr>
      <w:r>
        <w:rPr>
          <w:rFonts w:eastAsia="等线" w:ascii="Arial" w:cs="Arial" w:hAnsi="Arial"/>
          <w:sz w:val="22"/>
        </w:rPr>
        <w:t>6.2 环境湿度：40%RH~60%RH，无结露、无粉尘漂浮。</w:t>
      </w:r>
    </w:p>
    <w:p>
      <w:pPr>
        <w:spacing w:before="120" w:after="120" w:line="288" w:lineRule="auto"/>
        <w:ind w:left="0"/>
        <w:jc w:val="left"/>
      </w:pPr>
      <w:r>
        <w:rPr>
          <w:rFonts w:eastAsia="等线" w:ascii="Arial" w:cs="Arial" w:hAnsi="Arial"/>
          <w:sz w:val="22"/>
        </w:rPr>
        <w:t>6.3 场地无强振源、无强电磁干扰，基础振动≤2.5 μm。</w:t>
      </w:r>
    </w:p>
    <w:p>
      <w:pPr>
        <w:spacing w:before="120" w:after="120" w:line="288" w:lineRule="auto"/>
        <w:ind w:left="0"/>
        <w:jc w:val="left"/>
      </w:pPr>
      <w:r>
        <w:rPr>
          <w:rFonts w:eastAsia="等线" w:ascii="Arial" w:cs="Arial" w:hAnsi="Arial"/>
          <w:sz w:val="22"/>
        </w:rPr>
        <w:t>6.4 供气压力可按0.3 MPa、0.4 MPa、0.5 MPa及产品额定压力分级测试。</w:t>
      </w:r>
    </w:p>
    <w:p>
      <w:pPr>
        <w:spacing w:before="120" w:after="120" w:line="288" w:lineRule="auto"/>
        <w:ind w:left="0"/>
        <w:jc w:val="left"/>
      </w:pPr>
      <w:r>
        <w:rPr>
          <w:rFonts w:eastAsia="等线" w:ascii="Arial" w:cs="Arial" w:hAnsi="Arial"/>
          <w:sz w:val="22"/>
        </w:rPr>
        <w:t>6.5 试验全程冷却参数恒定，禁止中途更改工况。</w:t>
      </w:r>
    </w:p>
    <w:p>
      <w:pPr>
        <w:pStyle w:val="2"/>
        <w:spacing w:before="320" w:after="120" w:line="288" w:lineRule="auto"/>
        <w:ind w:left="0"/>
        <w:jc w:val="left"/>
        <w:outlineLvl w:val="1"/>
      </w:pPr>
      <w:bookmarkStart w:name="heading_58" w:id="58"/>
      <w:r>
        <w:rPr>
          <w:rFonts w:eastAsia="等线" w:ascii="Arial" w:cs="Arial" w:hAnsi="Arial"/>
          <w:b w:val="true"/>
          <w:sz w:val="32"/>
        </w:rPr>
        <w:t>7 受试样品预处理</w:t>
      </w:r>
      <w:bookmarkEnd w:id="58"/>
    </w:p>
    <w:p>
      <w:pPr>
        <w:spacing w:before="120" w:after="120" w:line="288" w:lineRule="auto"/>
        <w:ind w:left="0"/>
        <w:jc w:val="left"/>
      </w:pPr>
      <w:r>
        <w:rPr>
          <w:rFonts w:eastAsia="等线" w:ascii="Arial" w:cs="Arial" w:hAnsi="Arial"/>
          <w:sz w:val="22"/>
        </w:rPr>
        <w:t>7.1 受试主轴为全新合格产品或状态完好在役产品，气路通畅、节流无堵塞、密封无泄漏。</w:t>
      </w:r>
    </w:p>
    <w:p>
      <w:pPr>
        <w:spacing w:before="120" w:after="120" w:line="288" w:lineRule="auto"/>
        <w:ind w:left="0"/>
        <w:jc w:val="left"/>
      </w:pPr>
      <w:r>
        <w:rPr>
          <w:rFonts w:eastAsia="等线" w:ascii="Arial" w:cs="Arial" w:hAnsi="Arial"/>
          <w:sz w:val="22"/>
        </w:rPr>
        <w:t>7.2 安装完成后进行气密性保压测试，保压10 min压力无衰减、无漏气异响。</w:t>
      </w:r>
    </w:p>
    <w:p>
      <w:pPr>
        <w:spacing w:before="120" w:after="120" w:line="288" w:lineRule="auto"/>
        <w:ind w:left="0"/>
        <w:jc w:val="left"/>
      </w:pPr>
      <w:r>
        <w:rPr>
          <w:rFonts w:eastAsia="等线" w:ascii="Arial" w:cs="Arial" w:hAnsi="Arial"/>
          <w:sz w:val="22"/>
        </w:rPr>
        <w:t>7.3 低速预热运行30 min，额定转速热平衡运行20 min，待温度、悬浮状态完全稳定后开始测试。</w:t>
      </w:r>
    </w:p>
    <w:p>
      <w:pPr>
        <w:spacing w:before="120" w:after="120" w:line="288" w:lineRule="auto"/>
        <w:ind w:left="0"/>
        <w:jc w:val="left"/>
      </w:pPr>
      <w:r>
        <w:rPr>
          <w:rFonts w:eastAsia="等线" w:ascii="Arial" w:cs="Arial" w:hAnsi="Arial"/>
          <w:sz w:val="22"/>
        </w:rPr>
        <w:t>7.4 清除工装、转子表面杂质，保证无外力初始干扰。</w:t>
      </w:r>
    </w:p>
    <w:p>
      <w:pPr>
        <w:pStyle w:val="2"/>
        <w:spacing w:before="320" w:after="120" w:line="288" w:lineRule="auto"/>
        <w:ind w:left="0"/>
        <w:jc w:val="left"/>
        <w:outlineLvl w:val="1"/>
      </w:pPr>
      <w:bookmarkStart w:name="heading_59" w:id="59"/>
      <w:r>
        <w:rPr>
          <w:rFonts w:eastAsia="等线" w:ascii="Arial" w:cs="Arial" w:hAnsi="Arial"/>
          <w:b w:val="true"/>
          <w:sz w:val="32"/>
        </w:rPr>
        <w:t>8 测试工况与试验分类</w:t>
      </w:r>
      <w:bookmarkEnd w:id="59"/>
    </w:p>
    <w:p>
      <w:pPr>
        <w:spacing w:before="120" w:after="120" w:line="288" w:lineRule="auto"/>
        <w:ind w:left="0"/>
        <w:jc w:val="left"/>
      </w:pPr>
      <w:r>
        <w:rPr>
          <w:rFonts w:eastAsia="等线" w:ascii="Arial" w:cs="Arial" w:hAnsi="Arial"/>
          <w:sz w:val="22"/>
        </w:rPr>
        <w:t>本文件测试分为四类核心试验，可单独测试或组合测试：</w:t>
      </w:r>
    </w:p>
    <w:p>
      <w:pPr>
        <w:pStyle w:val="3"/>
        <w:spacing w:before="300" w:after="120" w:line="288" w:lineRule="auto"/>
        <w:ind w:left="0"/>
        <w:jc w:val="left"/>
        <w:outlineLvl w:val="2"/>
      </w:pPr>
      <w:bookmarkStart w:name="heading_60" w:id="60"/>
      <w:r>
        <w:rPr>
          <w:rFonts w:eastAsia="等线" w:ascii="Arial" w:cs="Arial" w:hAnsi="Arial"/>
          <w:b w:val="true"/>
          <w:sz w:val="30"/>
        </w:rPr>
        <w:t>8.1 静态承载刚度测试（静止无转速）</w:t>
      </w:r>
      <w:bookmarkEnd w:id="60"/>
    </w:p>
    <w:p>
      <w:pPr>
        <w:spacing w:before="120" w:after="120" w:line="288" w:lineRule="auto"/>
        <w:ind w:left="0"/>
        <w:jc w:val="left"/>
      </w:pPr>
      <w:r>
        <w:rPr>
          <w:rFonts w:eastAsia="等线" w:ascii="Arial" w:cs="Arial" w:hAnsi="Arial"/>
          <w:sz w:val="22"/>
        </w:rPr>
        <w:t>主轴静止悬浮状态，逐级加载，获取基础气膜刚度与静态承载力，用于产品出厂标定。</w:t>
      </w:r>
    </w:p>
    <w:p>
      <w:pPr>
        <w:pStyle w:val="3"/>
        <w:spacing w:before="300" w:after="120" w:line="288" w:lineRule="auto"/>
        <w:ind w:left="0"/>
        <w:jc w:val="left"/>
        <w:outlineLvl w:val="2"/>
      </w:pPr>
      <w:bookmarkStart w:name="heading_61" w:id="61"/>
      <w:r>
        <w:rPr>
          <w:rFonts w:eastAsia="等线" w:ascii="Arial" w:cs="Arial" w:hAnsi="Arial"/>
          <w:b w:val="true"/>
          <w:sz w:val="30"/>
        </w:rPr>
        <w:t>8.2 准动态承载刚度测试（额定转速稳态）</w:t>
      </w:r>
      <w:bookmarkEnd w:id="61"/>
    </w:p>
    <w:p>
      <w:pPr>
        <w:spacing w:before="120" w:after="120" w:line="288" w:lineRule="auto"/>
        <w:ind w:left="0"/>
        <w:jc w:val="left"/>
      </w:pPr>
      <w:r>
        <w:rPr>
          <w:rFonts w:eastAsia="等线" w:ascii="Arial" w:cs="Arial" w:hAnsi="Arial"/>
          <w:sz w:val="22"/>
        </w:rPr>
        <w:t>主轴超高速额定运转状态加载，模拟实际钻孔、磨削加工受力，为整机应用真实性能指标。</w:t>
      </w:r>
    </w:p>
    <w:p>
      <w:pPr>
        <w:pStyle w:val="3"/>
        <w:spacing w:before="300" w:after="120" w:line="288" w:lineRule="auto"/>
        <w:ind w:left="0"/>
        <w:jc w:val="left"/>
        <w:outlineLvl w:val="2"/>
      </w:pPr>
      <w:bookmarkStart w:name="heading_62" w:id="62"/>
      <w:r>
        <w:rPr>
          <w:rFonts w:eastAsia="等线" w:ascii="Arial" w:cs="Arial" w:hAnsi="Arial"/>
          <w:b w:val="true"/>
          <w:sz w:val="30"/>
        </w:rPr>
        <w:t>8.3 刚度滞回特性测试</w:t>
      </w:r>
      <w:bookmarkEnd w:id="62"/>
    </w:p>
    <w:p>
      <w:pPr>
        <w:spacing w:before="120" w:after="120" w:line="288" w:lineRule="auto"/>
        <w:ind w:left="0"/>
        <w:jc w:val="left"/>
      </w:pPr>
      <w:r>
        <w:rPr>
          <w:rFonts w:eastAsia="等线" w:ascii="Arial" w:cs="Arial" w:hAnsi="Arial"/>
          <w:sz w:val="22"/>
        </w:rPr>
        <w:t>正向逐级加载至额定载荷，再逐级卸载，对比加载、卸载刚度偏差，评价气膜非线性稳定性。</w:t>
      </w:r>
    </w:p>
    <w:p>
      <w:pPr>
        <w:pStyle w:val="3"/>
        <w:spacing w:before="300" w:after="120" w:line="288" w:lineRule="auto"/>
        <w:ind w:left="0"/>
        <w:jc w:val="left"/>
        <w:outlineLvl w:val="2"/>
      </w:pPr>
      <w:bookmarkStart w:name="heading_63" w:id="63"/>
      <w:r>
        <w:rPr>
          <w:rFonts w:eastAsia="等线" w:ascii="Arial" w:cs="Arial" w:hAnsi="Arial"/>
          <w:b w:val="true"/>
          <w:sz w:val="30"/>
        </w:rPr>
        <w:t>8.4 临界失稳载荷测试</w:t>
      </w:r>
      <w:bookmarkEnd w:id="63"/>
    </w:p>
    <w:p>
      <w:pPr>
        <w:spacing w:before="120" w:after="120" w:line="288" w:lineRule="auto"/>
        <w:ind w:left="0"/>
        <w:jc w:val="left"/>
      </w:pPr>
      <w:r>
        <w:rPr>
          <w:rFonts w:eastAsia="等线" w:ascii="Arial" w:cs="Arial" w:hAnsi="Arial"/>
          <w:sz w:val="22"/>
        </w:rPr>
        <w:t>缓慢超额定载荷加载，捕捉气膜刚度突变、振动激增临界点，获得极限安全承载裕量。</w:t>
      </w:r>
    </w:p>
    <w:p>
      <w:pPr>
        <w:pStyle w:val="2"/>
        <w:spacing w:before="320" w:after="120" w:line="288" w:lineRule="auto"/>
        <w:ind w:left="0"/>
        <w:jc w:val="left"/>
        <w:outlineLvl w:val="1"/>
      </w:pPr>
      <w:bookmarkStart w:name="heading_64" w:id="64"/>
      <w:r>
        <w:rPr>
          <w:rFonts w:eastAsia="等线" w:ascii="Arial" w:cs="Arial" w:hAnsi="Arial"/>
          <w:b w:val="true"/>
          <w:sz w:val="32"/>
        </w:rPr>
        <w:t>9 试验步骤</w:t>
      </w:r>
      <w:bookmarkEnd w:id="64"/>
    </w:p>
    <w:p>
      <w:pPr>
        <w:pStyle w:val="3"/>
        <w:spacing w:before="300" w:after="120" w:line="288" w:lineRule="auto"/>
        <w:ind w:left="0"/>
        <w:jc w:val="left"/>
        <w:outlineLvl w:val="2"/>
      </w:pPr>
      <w:bookmarkStart w:name="heading_65" w:id="65"/>
      <w:r>
        <w:rPr>
          <w:rFonts w:eastAsia="等线" w:ascii="Arial" w:cs="Arial" w:hAnsi="Arial"/>
          <w:b w:val="true"/>
          <w:sz w:val="30"/>
        </w:rPr>
        <w:t>9.1 测试准备</w:t>
      </w:r>
      <w:bookmarkEnd w:id="65"/>
    </w:p>
    <w:p>
      <w:pPr>
        <w:spacing w:before="120" w:after="120" w:line="288" w:lineRule="auto"/>
        <w:ind w:left="0"/>
        <w:jc w:val="left"/>
      </w:pPr>
      <w:r>
        <w:rPr>
          <w:rFonts w:eastAsia="等线" w:ascii="Arial" w:cs="Arial" w:hAnsi="Arial"/>
          <w:sz w:val="22"/>
        </w:rPr>
        <w:t>9.1.1 安装主轴，固定加载机构与位移传感器，校准零点。</w:t>
      </w:r>
    </w:p>
    <w:p>
      <w:pPr>
        <w:spacing w:before="120" w:after="120" w:line="288" w:lineRule="auto"/>
        <w:ind w:left="0"/>
        <w:jc w:val="left"/>
      </w:pPr>
      <w:r>
        <w:rPr>
          <w:rFonts w:eastAsia="等线" w:ascii="Arial" w:cs="Arial" w:hAnsi="Arial"/>
          <w:sz w:val="22"/>
        </w:rPr>
        <w:t>9.1.2 开启供气、冷却系统，压力、温度稳定后记录初始参数。</w:t>
      </w:r>
    </w:p>
    <w:p>
      <w:pPr>
        <w:spacing w:before="120" w:after="120" w:line="288" w:lineRule="auto"/>
        <w:ind w:left="0"/>
        <w:jc w:val="left"/>
      </w:pPr>
      <w:r>
        <w:rPr>
          <w:rFonts w:eastAsia="等线" w:ascii="Arial" w:cs="Arial" w:hAnsi="Arial"/>
          <w:sz w:val="22"/>
        </w:rPr>
        <w:t>9.1.3 位移、力值传感器清零校准，消除工装自重、预紧误差。</w:t>
      </w:r>
    </w:p>
    <w:p>
      <w:pPr>
        <w:pStyle w:val="3"/>
        <w:spacing w:before="300" w:after="120" w:line="288" w:lineRule="auto"/>
        <w:ind w:left="0"/>
        <w:jc w:val="left"/>
        <w:outlineLvl w:val="2"/>
      </w:pPr>
      <w:bookmarkStart w:name="heading_66" w:id="66"/>
      <w:r>
        <w:rPr>
          <w:rFonts w:eastAsia="等线" w:ascii="Arial" w:cs="Arial" w:hAnsi="Arial"/>
          <w:b w:val="true"/>
          <w:sz w:val="30"/>
        </w:rPr>
        <w:t>9.2 静态刚度测试步骤</w:t>
      </w:r>
      <w:bookmarkEnd w:id="66"/>
    </w:p>
    <w:p>
      <w:pPr>
        <w:spacing w:before="120" w:after="120" w:line="288" w:lineRule="auto"/>
        <w:ind w:left="0"/>
        <w:jc w:val="left"/>
      </w:pPr>
      <w:r>
        <w:rPr>
          <w:rFonts w:eastAsia="等线" w:ascii="Arial" w:cs="Arial" w:hAnsi="Arial"/>
          <w:sz w:val="22"/>
        </w:rPr>
        <w:t>9.2.1 主轴静止悬浮，保持工况恒定。</w:t>
      </w:r>
    </w:p>
    <w:p>
      <w:pPr>
        <w:spacing w:before="120" w:after="120" w:line="288" w:lineRule="auto"/>
        <w:ind w:left="0"/>
        <w:jc w:val="left"/>
      </w:pPr>
      <w:r>
        <w:rPr>
          <w:rFonts w:eastAsia="等线" w:ascii="Arial" w:cs="Arial" w:hAnsi="Arial"/>
          <w:sz w:val="22"/>
        </w:rPr>
        <w:t>9.2.2 采用分级加载方式，每级载荷为额定承载力的10%，每级保载10 s，待位移稳定后记录力值与转子偏移量。</w:t>
      </w:r>
    </w:p>
    <w:p>
      <w:pPr>
        <w:spacing w:before="120" w:after="120" w:line="288" w:lineRule="auto"/>
        <w:ind w:left="0"/>
        <w:jc w:val="left"/>
      </w:pPr>
      <w:r>
        <w:rPr>
          <w:rFonts w:eastAsia="等线" w:ascii="Arial" w:cs="Arial" w:hAnsi="Arial"/>
          <w:sz w:val="22"/>
        </w:rPr>
        <w:t>9.2.3 逐级加载直至额定载荷，全程无跳载、无冲击。</w:t>
      </w:r>
    </w:p>
    <w:p>
      <w:pPr>
        <w:spacing w:before="120" w:after="120" w:line="288" w:lineRule="auto"/>
        <w:ind w:left="0"/>
        <w:jc w:val="left"/>
      </w:pPr>
      <w:r>
        <w:rPr>
          <w:rFonts w:eastAsia="等线" w:ascii="Arial" w:cs="Arial" w:hAnsi="Arial"/>
          <w:sz w:val="22"/>
        </w:rPr>
        <w:t>9.2.4 记录每级载荷对应的位移数据，完成静态测试。</w:t>
      </w:r>
    </w:p>
    <w:p>
      <w:pPr>
        <w:pStyle w:val="3"/>
        <w:spacing w:before="300" w:after="120" w:line="288" w:lineRule="auto"/>
        <w:ind w:left="0"/>
        <w:jc w:val="left"/>
        <w:outlineLvl w:val="2"/>
      </w:pPr>
      <w:bookmarkStart w:name="heading_67" w:id="67"/>
      <w:r>
        <w:rPr>
          <w:rFonts w:eastAsia="等线" w:ascii="Arial" w:cs="Arial" w:hAnsi="Arial"/>
          <w:b w:val="true"/>
          <w:sz w:val="30"/>
        </w:rPr>
        <w:t>9.3 准动态刚度测试步骤</w:t>
      </w:r>
      <w:bookmarkEnd w:id="67"/>
    </w:p>
    <w:p>
      <w:pPr>
        <w:spacing w:before="120" w:after="120" w:line="288" w:lineRule="auto"/>
        <w:ind w:left="0"/>
        <w:jc w:val="left"/>
      </w:pPr>
      <w:r>
        <w:rPr>
          <w:rFonts w:eastAsia="等线" w:ascii="Arial" w:cs="Arial" w:hAnsi="Arial"/>
          <w:sz w:val="22"/>
        </w:rPr>
        <w:t>9.3.1 主轴升至额定超高速，热平衡稳定后开始测试。</w:t>
      </w:r>
    </w:p>
    <w:p>
      <w:pPr>
        <w:spacing w:before="120" w:after="120" w:line="288" w:lineRule="auto"/>
        <w:ind w:left="0"/>
        <w:jc w:val="left"/>
      </w:pPr>
      <w:r>
        <w:rPr>
          <w:rFonts w:eastAsia="等线" w:ascii="Arial" w:cs="Arial" w:hAnsi="Arial"/>
          <w:sz w:val="22"/>
        </w:rPr>
        <w:t>9.3.2 按照静态分级加载规则逐级施加载荷，同步记录高速运转下的偏移量、振动、温度变化。</w:t>
      </w:r>
    </w:p>
    <w:p>
      <w:pPr>
        <w:spacing w:before="120" w:after="120" w:line="288" w:lineRule="auto"/>
        <w:ind w:left="0"/>
        <w:jc w:val="left"/>
      </w:pPr>
      <w:r>
        <w:rPr>
          <w:rFonts w:eastAsia="等线" w:ascii="Arial" w:cs="Arial" w:hAnsi="Arial"/>
          <w:sz w:val="22"/>
        </w:rPr>
        <w:t>9.3.3 对比静态/动态刚度差异，评价高速气膜弱化特性。</w:t>
      </w:r>
    </w:p>
    <w:p>
      <w:pPr>
        <w:pStyle w:val="3"/>
        <w:spacing w:before="300" w:after="120" w:line="288" w:lineRule="auto"/>
        <w:ind w:left="0"/>
        <w:jc w:val="left"/>
        <w:outlineLvl w:val="2"/>
      </w:pPr>
      <w:bookmarkStart w:name="heading_68" w:id="68"/>
      <w:r>
        <w:rPr>
          <w:rFonts w:eastAsia="等线" w:ascii="Arial" w:cs="Arial" w:hAnsi="Arial"/>
          <w:b w:val="true"/>
          <w:sz w:val="30"/>
        </w:rPr>
        <w:t>9.4 滞回特性测试步骤</w:t>
      </w:r>
      <w:bookmarkEnd w:id="68"/>
    </w:p>
    <w:p>
      <w:pPr>
        <w:spacing w:before="120" w:after="120" w:line="288" w:lineRule="auto"/>
        <w:ind w:left="0"/>
        <w:jc w:val="left"/>
      </w:pPr>
      <w:r>
        <w:rPr>
          <w:rFonts w:eastAsia="等线" w:ascii="Arial" w:cs="Arial" w:hAnsi="Arial"/>
          <w:sz w:val="22"/>
        </w:rPr>
        <w:t>9.4.1 分级正向加载至100%额定载荷，逐级记录数据。</w:t>
      </w:r>
    </w:p>
    <w:p>
      <w:pPr>
        <w:spacing w:before="120" w:after="120" w:line="288" w:lineRule="auto"/>
        <w:ind w:left="0"/>
        <w:jc w:val="left"/>
      </w:pPr>
      <w:r>
        <w:rPr>
          <w:rFonts w:eastAsia="等线" w:ascii="Arial" w:cs="Arial" w:hAnsi="Arial"/>
          <w:sz w:val="22"/>
        </w:rPr>
        <w:t>9.4.2 保持每级载荷对应位移稳定后，逐级反向卸载至零载荷。</w:t>
      </w:r>
    </w:p>
    <w:p>
      <w:pPr>
        <w:spacing w:before="120" w:after="120" w:line="288" w:lineRule="auto"/>
        <w:ind w:left="0"/>
        <w:jc w:val="left"/>
      </w:pPr>
      <w:r>
        <w:rPr>
          <w:rFonts w:eastAsia="等线" w:ascii="Arial" w:cs="Arial" w:hAnsi="Arial"/>
          <w:sz w:val="22"/>
        </w:rPr>
        <w:t>9.4.3 完整记录加载曲线、卸载曲线，形成闭环滞回曲线。</w:t>
      </w:r>
    </w:p>
    <w:p>
      <w:pPr>
        <w:pStyle w:val="3"/>
        <w:spacing w:before="300" w:after="120" w:line="288" w:lineRule="auto"/>
        <w:ind w:left="0"/>
        <w:jc w:val="left"/>
        <w:outlineLvl w:val="2"/>
      </w:pPr>
      <w:bookmarkStart w:name="heading_69" w:id="69"/>
      <w:r>
        <w:rPr>
          <w:rFonts w:eastAsia="等线" w:ascii="Arial" w:cs="Arial" w:hAnsi="Arial"/>
          <w:b w:val="true"/>
          <w:sz w:val="30"/>
        </w:rPr>
        <w:t>9.5 临界失稳测试步骤（可选、按需测试）</w:t>
      </w:r>
      <w:bookmarkEnd w:id="69"/>
    </w:p>
    <w:p>
      <w:pPr>
        <w:spacing w:before="120" w:after="120" w:line="288" w:lineRule="auto"/>
        <w:ind w:left="0"/>
        <w:jc w:val="left"/>
      </w:pPr>
      <w:r>
        <w:rPr>
          <w:rFonts w:eastAsia="等线" w:ascii="Arial" w:cs="Arial" w:hAnsi="Arial"/>
          <w:sz w:val="22"/>
        </w:rPr>
        <w:t>9.5.1 在安全防护条件下，缓慢超额定载荷连续加载。</w:t>
      </w:r>
    </w:p>
    <w:p>
      <w:pPr>
        <w:spacing w:before="120" w:after="120" w:line="288" w:lineRule="auto"/>
        <w:ind w:left="0"/>
        <w:jc w:val="left"/>
      </w:pPr>
      <w:r>
        <w:rPr>
          <w:rFonts w:eastAsia="等线" w:ascii="Arial" w:cs="Arial" w:hAnsi="Arial"/>
          <w:sz w:val="22"/>
        </w:rPr>
        <w:t>9.5.2 实时监测振动、位移突变、气流异响。</w:t>
      </w:r>
    </w:p>
    <w:p>
      <w:pPr>
        <w:spacing w:before="120" w:after="120" w:line="288" w:lineRule="auto"/>
        <w:ind w:left="0"/>
        <w:jc w:val="left"/>
      </w:pPr>
      <w:r>
        <w:rPr>
          <w:rFonts w:eastAsia="等线" w:ascii="Arial" w:cs="Arial" w:hAnsi="Arial"/>
          <w:sz w:val="22"/>
        </w:rPr>
        <w:t>9.5.3 记录刚度急剧下降、振动突增的临界载荷，立即停止加载，避免碰磨损伤主轴。</w:t>
      </w:r>
    </w:p>
    <w:p>
      <w:pPr>
        <w:pStyle w:val="2"/>
        <w:spacing w:before="320" w:after="120" w:line="288" w:lineRule="auto"/>
        <w:ind w:left="0"/>
        <w:jc w:val="left"/>
        <w:outlineLvl w:val="1"/>
      </w:pPr>
      <w:bookmarkStart w:name="heading_70" w:id="70"/>
      <w:r>
        <w:rPr>
          <w:rFonts w:eastAsia="等线" w:ascii="Arial" w:cs="Arial" w:hAnsi="Arial"/>
          <w:b w:val="true"/>
          <w:sz w:val="32"/>
        </w:rPr>
        <w:t>10 数据处理与参数计算</w:t>
      </w:r>
      <w:bookmarkEnd w:id="70"/>
    </w:p>
    <w:p>
      <w:pPr>
        <w:pStyle w:val="3"/>
        <w:spacing w:before="300" w:after="120" w:line="288" w:lineRule="auto"/>
        <w:ind w:left="0"/>
        <w:jc w:val="left"/>
        <w:outlineLvl w:val="2"/>
      </w:pPr>
      <w:bookmarkStart w:name="heading_71" w:id="71"/>
      <w:r>
        <w:rPr>
          <w:rFonts w:eastAsia="等线" w:ascii="Arial" w:cs="Arial" w:hAnsi="Arial"/>
          <w:b w:val="true"/>
          <w:sz w:val="30"/>
        </w:rPr>
        <w:t>10.1 气膜刚度计算</w:t>
      </w:r>
      <w:bookmarkEnd w:id="71"/>
    </w:p>
    <w:p>
      <w:pPr>
        <w:spacing w:before="120" w:after="120" w:line="288" w:lineRule="auto"/>
        <w:ind w:left="0"/>
        <w:jc w:val="left"/>
      </w:pPr>
      <w:r>
        <w:rPr>
          <w:rFonts w:eastAsia="等线" w:ascii="Arial" w:cs="Arial" w:hAnsi="Arial"/>
          <w:sz w:val="22"/>
        </w:rPr>
        <w:t>气膜刚度为单位位移对应的载荷变化，取线性区间平均刚度：</w:t>
      </w:r>
    </w:p>
    <w:p>
      <w:pPr>
        <w:spacing w:before="120" w:after="120" w:line="288" w:lineRule="auto"/>
        <w:ind w:left="0"/>
        <w:jc w:val="left"/>
      </w:pPr>
      <w:r>
        <w:rPr>
          <w:rFonts w:eastAsia="等线" w:ascii="Arial" w:cs="Arial" w:hAnsi="Arial"/>
          <w:sz w:val="22"/>
        </w:rPr>
      </w:r>
      <m:oMathPara>
        <m:oMathParaPr>
          <m:jc m:val="left"/>
        </m:oMathParaPr>
        <m:oMath xmlns:mml="http://www.w3.org/1998/Math/MathML">
          <m:r>
            <w:rPr>
              <w:rFonts w:ascii="Cambria Math" w:hAnsi="Cambria Math"/>
            </w:rPr>
            <m:t>K=</m:t>
          </m:r>
          <m:f>
            <m:fPr>
              <m:type m:val="bar"/>
            </m:fPr>
            <m:num>
              <m:r>
                <m:rPr>
                  <m:sty m:val="p"/>
                </m:rPr>
                <w:rPr>
                  <w:rFonts w:ascii="Cambria Math" w:hAnsi="Cambria Math"/>
                </w:rPr>
                <m:t>Δ</m:t>
              </m:r>
              <m:r>
                <w:rPr>
                  <w:rFonts w:ascii="Cambria Math" w:hAnsi="Cambria Math"/>
                </w:rPr>
                <m:t>F</m:t>
              </m:r>
            </m:num>
            <m:den>
              <m:r>
                <m:rPr>
                  <m:sty m:val="p"/>
                </m:rPr>
                <w:rPr>
                  <w:rFonts w:ascii="Cambria Math" w:hAnsi="Cambria Math"/>
                </w:rPr>
                <m:t>Δ</m:t>
              </m:r>
              <m:r>
                <w:rPr>
                  <w:rFonts w:ascii="Cambria Math" w:hAnsi="Cambria Math"/>
                </w:rPr>
                <m:t>δ</m:t>
              </m:r>
            </m:den>
          </m:f>
        </m:oMath>
      </m:oMathPara>
    </w:p>
    <w:p>
      <w:pPr>
        <w:spacing w:before="120" w:after="120" w:line="288" w:lineRule="auto"/>
        <w:ind w:left="0"/>
        <w:jc w:val="left"/>
      </w:pPr>
      <w:r>
        <w:rPr>
          <w:rFonts w:eastAsia="等线" w:ascii="Arial" w:cs="Arial" w:hAnsi="Arial"/>
          <w:sz w:val="22"/>
        </w:rPr>
        <w:t>式中：K为气膜刚度，N/μm；ΔF为载荷变化量，N；Δδ为转子位移变化量，μm。</w:t>
      </w:r>
    </w:p>
    <w:p>
      <w:pPr>
        <w:spacing w:before="120" w:after="120" w:line="288" w:lineRule="auto"/>
        <w:ind w:left="0"/>
        <w:jc w:val="left"/>
      </w:pPr>
      <w:r>
        <w:rPr>
          <w:rFonts w:eastAsia="等线" w:ascii="Arial" w:cs="Arial" w:hAnsi="Arial"/>
          <w:sz w:val="22"/>
        </w:rPr>
        <w:t>分别计算：静态径向刚度、动态径向刚度、静态轴向刚度、动态轴向刚度。</w:t>
      </w:r>
    </w:p>
    <w:p>
      <w:pPr>
        <w:pStyle w:val="3"/>
        <w:spacing w:before="300" w:after="120" w:line="288" w:lineRule="auto"/>
        <w:ind w:left="0"/>
        <w:jc w:val="left"/>
        <w:outlineLvl w:val="2"/>
      </w:pPr>
      <w:bookmarkStart w:name="heading_72" w:id="72"/>
      <w:r>
        <w:rPr>
          <w:rFonts w:eastAsia="等线" w:ascii="Arial" w:cs="Arial" w:hAnsi="Arial"/>
          <w:b w:val="true"/>
          <w:sz w:val="30"/>
        </w:rPr>
        <w:t>10.2 承载力线性度</w:t>
      </w:r>
      <w:bookmarkEnd w:id="72"/>
    </w:p>
    <w:p>
      <w:pPr>
        <w:spacing w:before="120" w:after="120" w:line="288" w:lineRule="auto"/>
        <w:ind w:left="0"/>
        <w:jc w:val="left"/>
      </w:pPr>
      <w:r>
        <w:rPr>
          <w:rFonts w:eastAsia="等线" w:ascii="Arial" w:cs="Arial" w:hAnsi="Arial"/>
          <w:sz w:val="22"/>
        </w:rPr>
        <w:t>取额定载荷区间内实测曲线与理想线性拟合曲线的最大偏差，表征气膜承载线性性能。</w:t>
      </w:r>
    </w:p>
    <w:p>
      <w:pPr>
        <w:pStyle w:val="3"/>
        <w:spacing w:before="300" w:after="120" w:line="288" w:lineRule="auto"/>
        <w:ind w:left="0"/>
        <w:jc w:val="left"/>
        <w:outlineLvl w:val="2"/>
      </w:pPr>
      <w:bookmarkStart w:name="heading_73" w:id="73"/>
      <w:r>
        <w:rPr>
          <w:rFonts w:eastAsia="等线" w:ascii="Arial" w:cs="Arial" w:hAnsi="Arial"/>
          <w:b w:val="true"/>
          <w:sz w:val="30"/>
        </w:rPr>
        <w:t>10.3 滞回误差计算</w:t>
      </w:r>
      <w:bookmarkEnd w:id="73"/>
    </w:p>
    <w:p>
      <w:pPr>
        <w:spacing w:before="120" w:after="120" w:line="288" w:lineRule="auto"/>
        <w:ind w:left="0"/>
        <w:jc w:val="left"/>
      </w:pPr>
      <w:r>
        <w:rPr>
          <w:rFonts w:eastAsia="等线" w:ascii="Arial" w:cs="Arial" w:hAnsi="Arial"/>
          <w:sz w:val="22"/>
        </w:rPr>
      </w:r>
      <m:oMathPara>
        <m:oMathParaPr>
          <m:jc m:val="left"/>
        </m:oMathParaPr>
        <m:oMath xmlns:mml="http://www.w3.org/1998/Math/MathML">
          <m:sSub>
            <m:e>
              <m:r>
                <w:rPr>
                  <w:rFonts w:ascii="Cambria Math" w:hAnsi="Cambria Math"/>
                </w:rPr>
                <m:t>E</m:t>
              </m:r>
            </m:e>
            <m:sub>
              <m:r>
                <w:rPr>
                  <w:rFonts w:ascii="Cambria Math" w:hAnsi="Cambria Math"/>
                </w:rPr>
                <m:t>H</m:t>
              </m:r>
            </m:sub>
          </m:sSub>
          <m:r>
            <w:rPr>
              <w:rFonts w:ascii="Cambria Math" w:hAnsi="Cambria Math"/>
            </w:rPr>
            <m:t>=</m:t>
          </m:r>
          <m:f>
            <m:fPr>
              <m:type m:val="bar"/>
            </m:fPr>
            <m:num>
              <m:r>
                <w:rPr>
                  <w:rFonts w:ascii="Cambria Math" w:hAnsi="Cambria Math"/>
                </w:rPr>
                <m:t>|</m:t>
              </m:r>
              <m:sSub>
                <m:e>
                  <m:r>
                    <w:rPr>
                      <w:rFonts w:ascii="Cambria Math" w:hAnsi="Cambria Math"/>
                    </w:rPr>
                    <m:t>δ</m:t>
                  </m:r>
                </m:e>
                <m:sub>
                  <m:r>
                    <w:rPr>
                      <w:rFonts w:ascii="Cambria Math" w:hAnsi="Cambria Math"/>
                    </w:rPr>
                    <m:t>load</m:t>
                  </m:r>
                </m:sub>
              </m:sSub>
              <m:r>
                <w:rPr>
                  <w:rFonts w:ascii="Cambria Math" w:hAnsi="Cambria Math"/>
                </w:rPr>
                <m:t>−</m:t>
              </m:r>
              <m:sSub>
                <m:e>
                  <m:r>
                    <w:rPr>
                      <w:rFonts w:ascii="Cambria Math" w:hAnsi="Cambria Math"/>
                    </w:rPr>
                    <m:t>δ</m:t>
                  </m:r>
                </m:e>
                <m:sub>
                  <m:r>
                    <w:rPr>
                      <w:rFonts w:ascii="Cambria Math" w:hAnsi="Cambria Math"/>
                    </w:rPr>
                    <m:t>unload</m:t>
                  </m:r>
                </m:sub>
              </m:sSub>
              <m:sSub>
                <m:e>
                  <m:r>
                    <w:rPr>
                      <w:rFonts w:ascii="Cambria Math" w:hAnsi="Cambria Math"/>
                    </w:rPr>
                    <m:t>|</m:t>
                  </m:r>
                </m:e>
                <m:sub>
                  <m:r>
                    <w:rPr>
                      <w:rFonts w:ascii="Cambria Math" w:hAnsi="Cambria Math"/>
                    </w:rPr>
                    <m:t>max</m:t>
                  </m:r>
                </m:sub>
              </m:sSub>
            </m:num>
            <m:den>
              <m:sSub>
                <m:e>
                  <m:r>
                    <w:rPr>
                      <w:rFonts w:ascii="Cambria Math" w:hAnsi="Cambria Math"/>
                    </w:rPr>
                    <m:t>δ</m:t>
                  </m:r>
                </m:e>
                <m:sub>
                  <m:r>
                    <w:rPr>
                      <w:rFonts w:ascii="Cambria Math" w:hAnsi="Cambria Math"/>
                    </w:rPr>
                    <m:t>rated</m:t>
                  </m:r>
                </m:sub>
              </m:sSub>
            </m:den>
          </m:f>
          <m:r>
            <w:rPr>
              <w:rFonts w:ascii="Cambria Math" w:hAnsi="Cambria Math"/>
            </w:rPr>
            <m:t>×100</m:t>
          </m:r>
          <m:r>
            <m:rPr>
              <m:sty m:val="p"/>
            </m:rPr>
            <w:rPr>
              <w:rFonts w:ascii="Cambria Math" w:hAnsi="Cambria Math"/>
            </w:rPr>
            <m:t>%</m:t>
          </m:r>
        </m:oMath>
      </m:oMathPara>
    </w:p>
    <w:p>
      <w:pPr>
        <w:spacing w:before="120" w:after="120" w:line="288" w:lineRule="auto"/>
        <w:ind w:left="0"/>
        <w:jc w:val="left"/>
      </w:pPr>
      <w:r>
        <w:rPr>
          <w:rFonts w:eastAsia="等线" w:ascii="Arial" w:cs="Arial" w:hAnsi="Arial"/>
          <w:sz w:val="22"/>
        </w:rPr>
        <w:t>式中：E_H为滞回误差；δ_load为加载位移；δ_unload为卸载位移；δ_rated为额定载荷下标准位移。</w:t>
      </w:r>
    </w:p>
    <w:p>
      <w:pPr>
        <w:pStyle w:val="3"/>
        <w:spacing w:before="300" w:after="120" w:line="288" w:lineRule="auto"/>
        <w:ind w:left="0"/>
        <w:jc w:val="left"/>
        <w:outlineLvl w:val="2"/>
      </w:pPr>
      <w:bookmarkStart w:name="heading_74" w:id="74"/>
      <w:r>
        <w:rPr>
          <w:rFonts w:eastAsia="等线" w:ascii="Arial" w:cs="Arial" w:hAnsi="Arial"/>
          <w:b w:val="true"/>
          <w:sz w:val="30"/>
        </w:rPr>
        <w:t>10.4 临界承载裕量</w:t>
      </w:r>
      <w:bookmarkEnd w:id="74"/>
    </w:p>
    <w:p>
      <w:pPr>
        <w:spacing w:before="120" w:after="120" w:line="288" w:lineRule="auto"/>
        <w:ind w:left="0"/>
        <w:jc w:val="left"/>
      </w:pPr>
      <w:r>
        <w:rPr>
          <w:rFonts w:eastAsia="等线" w:ascii="Arial" w:cs="Arial" w:hAnsi="Arial"/>
          <w:sz w:val="22"/>
        </w:rPr>
      </w:r>
      <m:oMathPara>
        <m:oMathParaPr>
          <m:jc m:val="left"/>
        </m:oMathParaPr>
        <m:oMath xmlns:mml="http://www.w3.org/1998/Math/MathML">
          <m:r>
            <w:rPr>
              <w:rFonts w:ascii="Cambria Math" w:hAnsi="Cambria Math"/>
            </w:rPr>
            <m:t>S=</m:t>
          </m:r>
          <m:f>
            <m:fPr>
              <m:type m:val="bar"/>
            </m:fPr>
            <m:num>
              <m:sSub>
                <m:e>
                  <m:r>
                    <w:rPr>
                      <w:rFonts w:ascii="Cambria Math" w:hAnsi="Cambria Math"/>
                    </w:rPr>
                    <m:t>F</m:t>
                  </m:r>
                </m:e>
                <m:sub>
                  <m:r>
                    <w:rPr>
                      <w:rFonts w:ascii="Cambria Math" w:hAnsi="Cambria Math"/>
                    </w:rPr>
                    <m:t>critical</m:t>
                  </m:r>
                </m:sub>
              </m:sSub>
              <m:r>
                <w:rPr>
                  <w:rFonts w:ascii="Cambria Math" w:hAnsi="Cambria Math"/>
                </w:rPr>
                <m:t>−</m:t>
              </m:r>
              <m:sSub>
                <m:e>
                  <m:r>
                    <w:rPr>
                      <w:rFonts w:ascii="Cambria Math" w:hAnsi="Cambria Math"/>
                    </w:rPr>
                    <m:t>F</m:t>
                  </m:r>
                </m:e>
                <m:sub>
                  <m:r>
                    <w:rPr>
                      <w:rFonts w:ascii="Cambria Math" w:hAnsi="Cambria Math"/>
                    </w:rPr>
                    <m:t>rated</m:t>
                  </m:r>
                </m:sub>
              </m:sSub>
            </m:num>
            <m:den>
              <m:sSub>
                <m:e>
                  <m:r>
                    <w:rPr>
                      <w:rFonts w:ascii="Cambria Math" w:hAnsi="Cambria Math"/>
                    </w:rPr>
                    <m:t>F</m:t>
                  </m:r>
                </m:e>
                <m:sub>
                  <m:r>
                    <w:rPr>
                      <w:rFonts w:ascii="Cambria Math" w:hAnsi="Cambria Math"/>
                    </w:rPr>
                    <m:t>rated</m:t>
                  </m:r>
                </m:sub>
              </m:sSub>
            </m:den>
          </m:f>
          <m:r>
            <w:rPr>
              <w:rFonts w:ascii="Cambria Math" w:hAnsi="Cambria Math"/>
            </w:rPr>
            <m:t>×100</m:t>
          </m:r>
          <m:r>
            <m:rPr>
              <m:sty m:val="p"/>
            </m:rPr>
            <w:rPr>
              <w:rFonts w:ascii="Cambria Math" w:hAnsi="Cambria Math"/>
            </w:rPr>
            <m:t>%</m:t>
          </m:r>
        </m:oMath>
      </m:oMathPara>
    </w:p>
    <w:p>
      <w:pPr>
        <w:spacing w:before="120" w:after="120" w:line="288" w:lineRule="auto"/>
        <w:ind w:left="0"/>
        <w:jc w:val="left"/>
      </w:pPr>
      <w:r>
        <w:rPr>
          <w:rFonts w:eastAsia="等线" w:ascii="Arial" w:cs="Arial" w:hAnsi="Arial"/>
          <w:sz w:val="22"/>
        </w:rPr>
        <w:t>式中：S为承载安全裕量；F_critical为临界失稳载荷；F_rated为额定设计载荷。</w:t>
      </w:r>
    </w:p>
    <w:p>
      <w:pPr>
        <w:pStyle w:val="2"/>
        <w:spacing w:before="320" w:after="120" w:line="288" w:lineRule="auto"/>
        <w:ind w:left="0"/>
        <w:jc w:val="left"/>
        <w:outlineLvl w:val="1"/>
      </w:pPr>
      <w:bookmarkStart w:name="heading_75" w:id="75"/>
      <w:r>
        <w:rPr>
          <w:rFonts w:eastAsia="等线" w:ascii="Arial" w:cs="Arial" w:hAnsi="Arial"/>
          <w:b w:val="true"/>
          <w:sz w:val="32"/>
        </w:rPr>
        <w:t>11 试验结果评定</w:t>
      </w:r>
      <w:bookmarkEnd w:id="75"/>
    </w:p>
    <w:p>
      <w:pPr>
        <w:spacing w:before="120" w:after="120" w:line="288" w:lineRule="auto"/>
        <w:ind w:left="0"/>
        <w:jc w:val="left"/>
      </w:pPr>
      <w:r>
        <w:rPr>
          <w:rFonts w:eastAsia="等线" w:ascii="Arial" w:cs="Arial" w:hAnsi="Arial"/>
          <w:sz w:val="22"/>
        </w:rPr>
        <w:t>11.1 在额定供气、额定转速工况下，气膜平均刚度、额定承载力应满足产品技术规范要求。</w:t>
      </w:r>
    </w:p>
    <w:p>
      <w:pPr>
        <w:spacing w:before="120" w:after="120" w:line="288" w:lineRule="auto"/>
        <w:ind w:left="0"/>
        <w:jc w:val="left"/>
      </w:pPr>
      <w:r>
        <w:rPr>
          <w:rFonts w:eastAsia="等线" w:ascii="Arial" w:cs="Arial" w:hAnsi="Arial"/>
          <w:sz w:val="22"/>
        </w:rPr>
        <w:t>11.2 正常工作载荷区间内，承载力—位移曲线应呈良好线性，无刚度突变、无局部软化现象。</w:t>
      </w:r>
    </w:p>
    <w:p>
      <w:pPr>
        <w:spacing w:before="120" w:after="120" w:line="288" w:lineRule="auto"/>
        <w:ind w:left="0"/>
        <w:jc w:val="left"/>
      </w:pPr>
      <w:r>
        <w:rPr>
          <w:rFonts w:eastAsia="等线" w:ascii="Arial" w:cs="Arial" w:hAnsi="Arial"/>
          <w:sz w:val="22"/>
        </w:rPr>
        <w:t>11.3 滞回误差应≤5%，气膜阻尼稳定、气流迟滞特性良好。</w:t>
      </w:r>
    </w:p>
    <w:p>
      <w:pPr>
        <w:spacing w:before="120" w:after="120" w:line="288" w:lineRule="auto"/>
        <w:ind w:left="0"/>
        <w:jc w:val="left"/>
      </w:pPr>
      <w:r>
        <w:rPr>
          <w:rFonts w:eastAsia="等线" w:ascii="Arial" w:cs="Arial" w:hAnsi="Arial"/>
          <w:sz w:val="22"/>
        </w:rPr>
        <w:t>11.4 高速工况下气膜刚度衰减应符合设计允许范围，无明显气膜软化失稳。</w:t>
      </w:r>
    </w:p>
    <w:p>
      <w:pPr>
        <w:spacing w:before="120" w:after="120" w:line="288" w:lineRule="auto"/>
        <w:ind w:left="0"/>
        <w:jc w:val="left"/>
      </w:pPr>
      <w:r>
        <w:rPr>
          <w:rFonts w:eastAsia="等线" w:ascii="Arial" w:cs="Arial" w:hAnsi="Arial"/>
          <w:sz w:val="22"/>
        </w:rPr>
        <w:t>11.5 若测试过程出现位移跳变、振动激增、刚度断崖式下降，判定该工况下气膜稳定性不达标。</w:t>
      </w:r>
    </w:p>
    <w:p>
      <w:pPr>
        <w:pStyle w:val="2"/>
        <w:spacing w:before="320" w:after="120" w:line="288" w:lineRule="auto"/>
        <w:ind w:left="0"/>
        <w:jc w:val="left"/>
        <w:outlineLvl w:val="1"/>
      </w:pPr>
      <w:bookmarkStart w:name="heading_76" w:id="76"/>
      <w:r>
        <w:rPr>
          <w:rFonts w:eastAsia="等线" w:ascii="Arial" w:cs="Arial" w:hAnsi="Arial"/>
          <w:b w:val="true"/>
          <w:sz w:val="32"/>
        </w:rPr>
        <w:t>12 试验报告</w:t>
      </w:r>
      <w:bookmarkEnd w:id="76"/>
    </w:p>
    <w:p>
      <w:pPr>
        <w:spacing w:before="120" w:after="120" w:line="288" w:lineRule="auto"/>
        <w:ind w:left="0"/>
        <w:jc w:val="left"/>
      </w:pPr>
      <w:r>
        <w:rPr>
          <w:rFonts w:eastAsia="等线" w:ascii="Arial" w:cs="Arial" w:hAnsi="Arial"/>
          <w:sz w:val="22"/>
        </w:rPr>
        <w:t>试验报告应包含以下全部内容：</w:t>
      </w:r>
    </w:p>
    <w:p>
      <w:pPr>
        <w:numPr>
          <w:numId w:val="33"/>
        </w:numPr>
        <w:spacing w:before="120" w:after="120" w:line="288" w:lineRule="auto"/>
        <w:ind w:left="0"/>
        <w:jc w:val="left"/>
      </w:pPr>
      <w:r>
        <w:rPr>
          <w:rFonts w:eastAsia="等线" w:ascii="Arial" w:cs="Arial" w:hAnsi="Arial"/>
          <w:sz w:val="22"/>
        </w:rPr>
        <w:t>本标准依据、试验方案编号；</w:t>
      </w:r>
    </w:p>
    <w:p>
      <w:pPr>
        <w:numPr>
          <w:numId w:val="34"/>
        </w:numPr>
        <w:spacing w:before="120" w:after="120" w:line="288" w:lineRule="auto"/>
        <w:ind w:left="0"/>
        <w:jc w:val="left"/>
      </w:pPr>
      <w:r>
        <w:rPr>
          <w:rFonts w:eastAsia="等线" w:ascii="Arial" w:cs="Arial" w:hAnsi="Arial"/>
          <w:sz w:val="22"/>
        </w:rPr>
        <w:t>受试主轴型号、节流结构、额定参数、样品编号；</w:t>
      </w:r>
    </w:p>
    <w:p>
      <w:pPr>
        <w:numPr>
          <w:numId w:val="35"/>
        </w:numPr>
        <w:spacing w:before="120" w:after="120" w:line="288" w:lineRule="auto"/>
        <w:ind w:left="0"/>
        <w:jc w:val="left"/>
      </w:pPr>
      <w:r>
        <w:rPr>
          <w:rFonts w:eastAsia="等线" w:ascii="Arial" w:cs="Arial" w:hAnsi="Arial"/>
          <w:sz w:val="22"/>
        </w:rPr>
        <w:t>试验设备、仪器校准信息；</w:t>
      </w:r>
    </w:p>
    <w:p>
      <w:pPr>
        <w:numPr>
          <w:numId w:val="36"/>
        </w:numPr>
        <w:spacing w:before="120" w:after="120" w:line="288" w:lineRule="auto"/>
        <w:ind w:left="0"/>
        <w:jc w:val="left"/>
      </w:pPr>
      <w:r>
        <w:rPr>
          <w:rFonts w:eastAsia="等线" w:ascii="Arial" w:cs="Arial" w:hAnsi="Arial"/>
          <w:sz w:val="22"/>
        </w:rPr>
        <w:t>试验工况：供气压力、环境温度、测试转速、加载范围；</w:t>
      </w:r>
    </w:p>
    <w:p>
      <w:pPr>
        <w:numPr>
          <w:numId w:val="37"/>
        </w:numPr>
        <w:spacing w:before="120" w:after="120" w:line="288" w:lineRule="auto"/>
        <w:ind w:left="0"/>
        <w:jc w:val="left"/>
      </w:pPr>
      <w:r>
        <w:rPr>
          <w:rFonts w:eastAsia="等线" w:ascii="Arial" w:cs="Arial" w:hAnsi="Arial"/>
          <w:sz w:val="22"/>
        </w:rPr>
        <w:t>原始测试数据记录表；</w:t>
      </w:r>
    </w:p>
    <w:p>
      <w:pPr>
        <w:numPr>
          <w:numId w:val="38"/>
        </w:numPr>
        <w:spacing w:before="120" w:after="120" w:line="288" w:lineRule="auto"/>
        <w:ind w:left="0"/>
        <w:jc w:val="left"/>
      </w:pPr>
      <w:r>
        <w:rPr>
          <w:rFonts w:eastAsia="等线" w:ascii="Arial" w:cs="Arial" w:hAnsi="Arial"/>
          <w:sz w:val="22"/>
        </w:rPr>
        <w:t>静态/动态气膜刚度计算结果；</w:t>
      </w:r>
    </w:p>
    <w:p>
      <w:pPr>
        <w:numPr>
          <w:numId w:val="39"/>
        </w:numPr>
        <w:spacing w:before="120" w:after="120" w:line="288" w:lineRule="auto"/>
        <w:ind w:left="0"/>
        <w:jc w:val="left"/>
      </w:pPr>
      <w:r>
        <w:rPr>
          <w:rFonts w:eastAsia="等线" w:ascii="Arial" w:cs="Arial" w:hAnsi="Arial"/>
          <w:sz w:val="22"/>
        </w:rPr>
        <w:t>承载力线性度、滞回误差、临界载荷裕量；</w:t>
      </w:r>
    </w:p>
    <w:p>
      <w:pPr>
        <w:numPr>
          <w:numId w:val="40"/>
        </w:numPr>
        <w:spacing w:before="120" w:after="120" w:line="288" w:lineRule="auto"/>
        <w:ind w:left="0"/>
        <w:jc w:val="left"/>
      </w:pPr>
      <w:r>
        <w:rPr>
          <w:rFonts w:eastAsia="等线" w:ascii="Arial" w:cs="Arial" w:hAnsi="Arial"/>
          <w:sz w:val="22"/>
        </w:rPr>
        <w:t>承载特性拟合曲线图、滞回闭环曲线图；</w:t>
      </w:r>
    </w:p>
    <w:p>
      <w:pPr>
        <w:numPr>
          <w:numId w:val="41"/>
        </w:numPr>
        <w:spacing w:before="120" w:after="120" w:line="288" w:lineRule="auto"/>
        <w:ind w:left="0"/>
        <w:jc w:val="left"/>
      </w:pPr>
      <w:r>
        <w:rPr>
          <w:rFonts w:eastAsia="等线" w:ascii="Arial" w:cs="Arial" w:hAnsi="Arial"/>
          <w:sz w:val="22"/>
        </w:rPr>
        <w:t>试验结论与性能评价；</w:t>
      </w:r>
    </w:p>
    <w:p>
      <w:pPr>
        <w:numPr>
          <w:numId w:val="42"/>
        </w:numPr>
        <w:spacing w:before="120" w:after="120" w:line="288" w:lineRule="auto"/>
        <w:ind w:left="0"/>
        <w:jc w:val="left"/>
      </w:pPr>
      <w:r>
        <w:rPr>
          <w:rFonts w:eastAsia="等线" w:ascii="Arial" w:cs="Arial" w:hAnsi="Arial"/>
          <w:sz w:val="22"/>
        </w:rPr>
        <w:t>异常现象说明；</w:t>
      </w:r>
    </w:p>
    <w:p>
      <w:pPr>
        <w:numPr>
          <w:numId w:val="43"/>
        </w:numPr>
        <w:spacing w:before="120" w:after="120" w:line="288" w:lineRule="auto"/>
        <w:ind w:left="0"/>
        <w:jc w:val="left"/>
      </w:pPr>
      <w:r>
        <w:rPr>
          <w:rFonts w:eastAsia="等线" w:ascii="Arial" w:cs="Arial" w:hAnsi="Arial"/>
          <w:sz w:val="22"/>
        </w:rPr>
        <w:t>试验、审核、批准人员及日期。</w:t>
      </w:r>
    </w:p>
    <w:p>
      <w:pPr>
        <w:pStyle w:val="2"/>
        <w:spacing w:before="320" w:after="120" w:line="288" w:lineRule="auto"/>
        <w:ind w:left="0"/>
        <w:jc w:val="left"/>
        <w:outlineLvl w:val="1"/>
      </w:pPr>
      <w:bookmarkStart w:name="heading_77" w:id="77"/>
      <w:r>
        <w:rPr>
          <w:rFonts w:eastAsia="等线" w:ascii="Arial" w:cs="Arial" w:hAnsi="Arial"/>
          <w:b w:val="true"/>
          <w:sz w:val="32"/>
        </w:rPr>
        <w:t>附录A（资料性附录）气膜刚度与承载力试验原始记录表</w:t>
      </w:r>
      <w:bookmarkEnd w:id="77"/>
    </w:p>
    <w:tbl>
      <w:tblPr>
        <w:tblW w:w="0" w:type="auto"/>
        <w:tblInd w:w="0" w:type="dxa"/>
        <w:tblBorders>
          <w:top w:val="single" w:color="dee0e3"/>
          <w:left w:val="single" w:color="dee0e3"/>
          <w:bottom w:val="single" w:color="dee0e3"/>
          <w:right w:val="single" w:color="dee0e3"/>
          <w:insideH w:val="single" w:color="dee0e3"/>
          <w:insideV w:val="single" w:color="dee0e3"/>
        </w:tblBorders>
        <w:tblLayout w:type="fixed"/>
      </w:tblPr>
      <w:tblGrid>
        <w:gridCol w:w="825"/>
        <w:gridCol w:w="825"/>
        <w:gridCol w:w="735"/>
        <w:gridCol w:w="735"/>
        <w:gridCol w:w="735"/>
        <w:gridCol w:w="735"/>
        <w:gridCol w:w="735"/>
        <w:gridCol w:w="735"/>
        <w:gridCol w:w="735"/>
        <w:gridCol w:w="735"/>
        <w:gridCol w:w="825"/>
      </w:tblGrid>
      <w:tr>
        <w:tc>
          <w:tcPr>
            <w:tcW w:w="82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样品编号</w:t>
            </w:r>
          </w:p>
        </w:tc>
        <w:tc>
          <w:tcPr>
            <w:tcW w:w="82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测试工况(静态/动态)</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测试转速(r/min)</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供气压力(MPa)</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加载等级</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载荷值(N)</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转子位移(μm)</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环境温度(℃)</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振动值</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状态</w:t>
            </w:r>
          </w:p>
        </w:tc>
        <w:tc>
          <w:tcPr>
            <w:tcW w:w="82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备注</w:t>
            </w:r>
          </w:p>
        </w:tc>
      </w:tr>
      <w:tr>
        <w:tc>
          <w:tcPr>
            <w:tcW w:w="82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82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73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c>
          <w:tcPr>
            <w:tcW w:w="825" w:type="dxa"/>
            <w:tcMar>
              <w:top w:type="dxa" w:w="60"/>
              <w:left w:type="dxa" w:w="120"/>
              <w:bottom w:type="dxa" w:w="30"/>
              <w:right w:type="dxa" w:w="120"/>
            </w:tcMar>
          </w:tcPr>
          <w:p>
            <w:pPr>
              <w:spacing w:before="120" w:after="120" w:line="288" w:lineRule="auto"/>
              <w:ind w:left="0"/>
              <w:jc w:val="left"/>
            </w:pPr>
            <w:r>
              <w:rPr>
                <w:rFonts w:eastAsia="等线" w:ascii="Arial" w:cs="Arial" w:hAnsi="Arial"/>
                <w:sz w:val="22"/>
              </w:rPr>
              <w:t>—</w:t>
            </w:r>
          </w:p>
        </w:tc>
      </w:tr>
    </w:tbl>
    <w:p>
      <w:pPr>
        <w:pStyle w:val="2"/>
        <w:spacing w:before="320" w:after="120" w:line="288" w:lineRule="auto"/>
        <w:ind w:left="0"/>
        <w:jc w:val="left"/>
        <w:outlineLvl w:val="1"/>
      </w:pPr>
      <w:bookmarkStart w:name="heading_78" w:id="78"/>
      <w:r>
        <w:rPr>
          <w:rFonts w:eastAsia="等线" w:ascii="Arial" w:cs="Arial" w:hAnsi="Arial"/>
          <w:b w:val="true"/>
          <w:sz w:val="32"/>
        </w:rPr>
        <w:t>附录B（资料性附录）气浮主轴承载特性曲线绘制规范</w:t>
      </w:r>
      <w:bookmarkEnd w:id="78"/>
    </w:p>
    <w:p>
      <w:pPr>
        <w:spacing w:before="120" w:after="120" w:line="288" w:lineRule="auto"/>
        <w:ind w:left="0"/>
        <w:jc w:val="left"/>
      </w:pPr>
      <w:r>
        <w:rPr>
          <w:rFonts w:eastAsia="等线" w:ascii="Arial" w:cs="Arial" w:hAnsi="Arial"/>
          <w:sz w:val="22"/>
        </w:rPr>
        <w:t>B.1 横坐标为转子位移（μm），纵坐标为加载载荷（N）。</w:t>
      </w:r>
    </w:p>
    <w:p>
      <w:pPr>
        <w:spacing w:before="120" w:after="120" w:line="288" w:lineRule="auto"/>
        <w:ind w:left="0"/>
        <w:jc w:val="left"/>
      </w:pPr>
      <w:r>
        <w:rPr>
          <w:rFonts w:eastAsia="等线" w:ascii="Arial" w:cs="Arial" w:hAnsi="Arial"/>
          <w:sz w:val="22"/>
        </w:rPr>
        <w:t>B.2 分别绘制静态加载曲线、额定转速动态加载曲线。</w:t>
      </w:r>
    </w:p>
    <w:p>
      <w:pPr>
        <w:spacing w:before="120" w:after="120" w:line="288" w:lineRule="auto"/>
        <w:ind w:left="0"/>
        <w:jc w:val="left"/>
      </w:pPr>
      <w:r>
        <w:rPr>
          <w:rFonts w:eastAsia="等线" w:ascii="Arial" w:cs="Arial" w:hAnsi="Arial"/>
          <w:sz w:val="22"/>
        </w:rPr>
        <w:t>B.3 滞回试验需完整绘制加载、卸载双向闭环曲线。</w:t>
      </w:r>
    </w:p>
    <w:p>
      <w:pPr>
        <w:spacing w:before="120" w:after="120" w:line="288" w:lineRule="auto"/>
        <w:ind w:left="0"/>
        <w:jc w:val="left"/>
      </w:pPr>
      <w:r>
        <w:rPr>
          <w:rFonts w:eastAsia="等线" w:ascii="Arial" w:cs="Arial" w:hAnsi="Arial"/>
          <w:sz w:val="22"/>
        </w:rPr>
        <w:t>B.4 曲线上需标注额定载荷点、线性区间、刚度突变点、临界失稳点。</w:t>
      </w:r>
    </w:p>
    <w:p>
      <w:pPr>
        <w:spacing w:before="120" w:after="120" w:line="288" w:lineRule="auto"/>
        <w:ind w:left="0"/>
        <w:jc w:val="left"/>
      </w:pPr>
      <w:r>
        <w:rPr>
          <w:rFonts w:eastAsia="等线" w:ascii="Arial" w:cs="Arial" w:hAnsi="Arial"/>
          <w:sz w:val="22"/>
        </w:rPr>
        <w:t>B.5 图表统一命名、编号、标注测试工况，保证可复用、可对比、可归档。</w:t>
      </w:r>
    </w:p>
    <w:p>
      <w:pPr>
        <w:pStyle w:val="1"/>
        <w:spacing w:before="380" w:after="140" w:line="288" w:lineRule="auto"/>
        <w:ind w:left="0"/>
        <w:jc w:val="left"/>
        <w:outlineLvl w:val="0"/>
      </w:pPr>
      <w:bookmarkStart w:name="heading_79" w:id="79"/>
      <w:r>
        <w:rPr>
          <w:rFonts w:eastAsia="等线" w:ascii="Arial" w:cs="Arial" w:hAnsi="Arial"/>
          <w:b w:val="true"/>
          <w:sz w:val="36"/>
        </w:rPr>
        <w:t>第三篇 印制电路板（PCB）钻孔用气浮电主轴通用技术要求</w:t>
      </w:r>
      <w:bookmarkEnd w:id="79"/>
    </w:p>
    <w:p>
      <w:pPr>
        <w:pStyle w:val="2"/>
        <w:spacing w:before="320" w:after="120" w:line="288" w:lineRule="auto"/>
        <w:ind w:left="0"/>
        <w:jc w:val="left"/>
        <w:outlineLvl w:val="1"/>
      </w:pPr>
      <w:bookmarkStart w:name="heading_80" w:id="80"/>
      <w:r>
        <w:rPr>
          <w:rFonts w:eastAsia="等线" w:ascii="Arial" w:cs="Arial" w:hAnsi="Arial"/>
          <w:b w:val="true"/>
          <w:sz w:val="32"/>
        </w:rPr>
        <w:t>1 范围</w:t>
      </w:r>
      <w:bookmarkEnd w:id="80"/>
    </w:p>
    <w:p>
      <w:pPr>
        <w:spacing w:before="120" w:after="120" w:line="288" w:lineRule="auto"/>
        <w:ind w:left="0"/>
        <w:jc w:val="left"/>
      </w:pPr>
      <w:r>
        <w:rPr>
          <w:rFonts w:eastAsia="等线" w:ascii="Arial" w:cs="Arial" w:hAnsi="Arial"/>
          <w:sz w:val="22"/>
        </w:rPr>
        <w:t>本文件规定了印制电路板（PCB）钻孔加工用空气静压气浮电主轴（以下简称“PCB气浮主轴”）的产品分类、基本参数、通用技术要求、关键性能指标、安全防护、可靠性要求、试验方法、检验规则及包装贮存要求。</w:t>
      </w:r>
    </w:p>
    <w:p>
      <w:pPr>
        <w:spacing w:before="120" w:after="120" w:line="288" w:lineRule="auto"/>
        <w:ind w:left="0"/>
        <w:jc w:val="left"/>
      </w:pPr>
      <w:r>
        <w:rPr>
          <w:rFonts w:eastAsia="等线" w:ascii="Arial" w:cs="Arial" w:hAnsi="Arial"/>
          <w:sz w:val="22"/>
        </w:rPr>
        <w:t>本文件适用于印制电路板高速钻孔、微孔钻孔、多层板钻孔、精细开槽工序使用的超高速气浮电主轴。产品结构形式包含一体式永磁/高速感应气浮电主轴、小孔节流、多孔质节流空气静压支撑主轴。</w:t>
      </w:r>
    </w:p>
    <w:p>
      <w:pPr>
        <w:spacing w:before="120" w:after="120" w:line="288" w:lineRule="auto"/>
        <w:ind w:left="0"/>
        <w:jc w:val="left"/>
      </w:pPr>
      <w:r>
        <w:rPr>
          <w:rFonts w:eastAsia="等线" w:ascii="Arial" w:cs="Arial" w:hAnsi="Arial"/>
          <w:sz w:val="22"/>
        </w:rPr>
        <w:t>本文件为产品通用规范，作为PCB气浮主轴设计、制造、检验、验收、选型及贸易仲裁的依据。</w:t>
      </w:r>
    </w:p>
    <w:p>
      <w:pPr>
        <w:spacing w:before="120" w:after="120" w:line="288" w:lineRule="auto"/>
        <w:ind w:left="0"/>
        <w:jc w:val="left"/>
      </w:pPr>
      <w:r>
        <w:rPr>
          <w:rFonts w:eastAsia="等线" w:ascii="Arial" w:cs="Arial" w:hAnsi="Arial"/>
          <w:sz w:val="22"/>
        </w:rPr>
        <w:t>本文件不适用于机械轴承电主轴、液体静压主轴、磨削主轴、金属切削主轴。</w:t>
      </w:r>
    </w:p>
    <w:p>
      <w:pPr>
        <w:pStyle w:val="2"/>
        <w:spacing w:before="320" w:after="120" w:line="288" w:lineRule="auto"/>
        <w:ind w:left="0"/>
        <w:jc w:val="left"/>
        <w:outlineLvl w:val="1"/>
      </w:pPr>
      <w:bookmarkStart w:name="heading_81" w:id="81"/>
      <w:r>
        <w:rPr>
          <w:rFonts w:eastAsia="等线" w:ascii="Arial" w:cs="Arial" w:hAnsi="Arial"/>
          <w:b w:val="true"/>
          <w:sz w:val="32"/>
        </w:rPr>
        <w:t>2 规范性引用文件</w:t>
      </w:r>
      <w:bookmarkEnd w:id="81"/>
    </w:p>
    <w:p>
      <w:pPr>
        <w:spacing w:before="120" w:after="120" w:line="288" w:lineRule="auto"/>
        <w:ind w:left="0"/>
        <w:jc w:val="left"/>
      </w:pPr>
      <w:r>
        <w:rPr>
          <w:rFonts w:eastAsia="等线" w:ascii="Arial" w:cs="Arial" w:hAnsi="Arial"/>
          <w:sz w:val="22"/>
        </w:rPr>
        <w:t>下列文件中的内容通过文中的规范性引用而构成本文件必不可少的条款。其中，注日期的引用文件，仅该日期对应的版本适用于本文件；不注日期的引用文件，其最新版本（包括所有的修改单）适用于本文件。</w:t>
      </w:r>
    </w:p>
    <w:p>
      <w:pPr>
        <w:numPr>
          <w:numId w:val="44"/>
        </w:numPr>
        <w:spacing w:before="120" w:after="120" w:line="288" w:lineRule="auto"/>
        <w:ind w:left="0"/>
        <w:jc w:val="left"/>
      </w:pPr>
      <w:r>
        <w:rPr>
          <w:rFonts w:eastAsia="等线" w:ascii="Arial" w:cs="Arial" w:hAnsi="Arial"/>
          <w:sz w:val="22"/>
        </w:rPr>
        <w:t>GB/T 3187 可靠性、维修性术语</w:t>
      </w:r>
    </w:p>
    <w:p>
      <w:pPr>
        <w:numPr>
          <w:numId w:val="45"/>
        </w:numPr>
        <w:spacing w:before="120" w:after="120" w:line="288" w:lineRule="auto"/>
        <w:ind w:left="0"/>
        <w:jc w:val="left"/>
      </w:pPr>
      <w:r>
        <w:rPr>
          <w:rFonts w:eastAsia="等线" w:ascii="Arial" w:cs="Arial" w:hAnsi="Arial"/>
          <w:sz w:val="22"/>
        </w:rPr>
        <w:t>GB/T 6075.3 机械振动 在非旋转部件上测量和评价机器振动 第3部分：工业机器</w:t>
      </w:r>
    </w:p>
    <w:p>
      <w:pPr>
        <w:numPr>
          <w:numId w:val="46"/>
        </w:numPr>
        <w:spacing w:before="120" w:after="120" w:line="288" w:lineRule="auto"/>
        <w:ind w:left="0"/>
        <w:jc w:val="left"/>
      </w:pPr>
      <w:r>
        <w:rPr>
          <w:rFonts w:eastAsia="等线" w:ascii="Arial" w:cs="Arial" w:hAnsi="Arial"/>
          <w:sz w:val="22"/>
        </w:rPr>
        <w:t>GB/T 17626.1 电磁兼容 试验和测量技术 抗扰度试验总论</w:t>
      </w:r>
    </w:p>
    <w:p>
      <w:pPr>
        <w:numPr>
          <w:numId w:val="47"/>
        </w:numPr>
        <w:spacing w:before="120" w:after="120" w:line="288" w:lineRule="auto"/>
        <w:ind w:left="0"/>
        <w:jc w:val="left"/>
      </w:pPr>
      <w:r>
        <w:rPr>
          <w:rFonts w:eastAsia="等线" w:ascii="Arial" w:cs="Arial" w:hAnsi="Arial"/>
          <w:sz w:val="22"/>
        </w:rPr>
        <w:t>GB/T 40116-2021 箔片轴承 气体动压径向轴承性能 静态承载能力、摩擦因数和寿命测试</w:t>
      </w:r>
    </w:p>
    <w:p>
      <w:pPr>
        <w:numPr>
          <w:numId w:val="48"/>
        </w:numPr>
        <w:spacing w:before="120" w:after="120" w:line="288" w:lineRule="auto"/>
        <w:ind w:left="0"/>
        <w:jc w:val="left"/>
      </w:pPr>
      <w:r>
        <w:rPr>
          <w:rFonts w:eastAsia="等线" w:ascii="Arial" w:cs="Arial" w:hAnsi="Arial"/>
          <w:sz w:val="22"/>
        </w:rPr>
        <w:t>JB/T 13826-2020 电主轴 性能试验规范</w:t>
      </w:r>
    </w:p>
    <w:p>
      <w:pPr>
        <w:numPr>
          <w:numId w:val="49"/>
        </w:numPr>
        <w:spacing w:before="120" w:after="120" w:line="288" w:lineRule="auto"/>
        <w:ind w:left="0"/>
        <w:jc w:val="left"/>
      </w:pPr>
      <w:r>
        <w:rPr>
          <w:rFonts w:eastAsia="等线" w:ascii="Arial" w:cs="Arial" w:hAnsi="Arial"/>
          <w:sz w:val="22"/>
        </w:rPr>
        <w:t>ISO 8573-1 压缩空气 第1部分：污染物和纯度等级</w:t>
      </w:r>
    </w:p>
    <w:p>
      <w:pPr>
        <w:numPr>
          <w:numId w:val="50"/>
        </w:numPr>
        <w:spacing w:before="120" w:after="120" w:line="288" w:lineRule="auto"/>
        <w:ind w:left="0"/>
        <w:jc w:val="left"/>
      </w:pPr>
      <w:r>
        <w:rPr>
          <w:rFonts w:eastAsia="等线" w:ascii="Arial" w:cs="Arial" w:hAnsi="Arial"/>
          <w:sz w:val="22"/>
        </w:rPr>
        <w:t>气浮主轴超高速寿命与可靠性测试方法</w:t>
      </w:r>
    </w:p>
    <w:p>
      <w:pPr>
        <w:numPr>
          <w:numId w:val="51"/>
        </w:numPr>
        <w:spacing w:before="120" w:after="120" w:line="288" w:lineRule="auto"/>
        <w:ind w:left="0"/>
        <w:jc w:val="left"/>
      </w:pPr>
      <w:r>
        <w:rPr>
          <w:rFonts w:eastAsia="等线" w:ascii="Arial" w:cs="Arial" w:hAnsi="Arial"/>
          <w:sz w:val="22"/>
        </w:rPr>
        <w:t>气浮主轴气膜刚度与承载特性测试方法</w:t>
      </w:r>
    </w:p>
    <w:p>
      <w:pPr>
        <w:pStyle w:val="2"/>
        <w:spacing w:before="320" w:after="120" w:line="288" w:lineRule="auto"/>
        <w:ind w:left="0"/>
        <w:jc w:val="left"/>
        <w:outlineLvl w:val="1"/>
      </w:pPr>
      <w:bookmarkStart w:name="heading_82" w:id="82"/>
      <w:r>
        <w:rPr>
          <w:rFonts w:eastAsia="等线" w:ascii="Arial" w:cs="Arial" w:hAnsi="Arial"/>
          <w:b w:val="true"/>
          <w:sz w:val="32"/>
        </w:rPr>
        <w:t>3 术语和定义</w:t>
      </w:r>
      <w:bookmarkEnd w:id="82"/>
    </w:p>
    <w:p>
      <w:pPr>
        <w:spacing w:before="120" w:after="120" w:line="288" w:lineRule="auto"/>
        <w:ind w:left="0"/>
        <w:jc w:val="left"/>
      </w:pPr>
      <w:r>
        <w:rPr>
          <w:rFonts w:eastAsia="等线" w:ascii="Arial" w:cs="Arial" w:hAnsi="Arial"/>
          <w:sz w:val="22"/>
        </w:rPr>
        <w:t>下列术语和定义适用于本文件。</w:t>
      </w:r>
    </w:p>
    <w:p>
      <w:pPr>
        <w:pStyle w:val="3"/>
        <w:spacing w:before="300" w:after="120" w:line="288" w:lineRule="auto"/>
        <w:ind w:left="0"/>
        <w:jc w:val="left"/>
        <w:outlineLvl w:val="2"/>
      </w:pPr>
      <w:bookmarkStart w:name="heading_83" w:id="83"/>
      <w:r>
        <w:rPr>
          <w:rFonts w:eastAsia="等线" w:ascii="Arial" w:cs="Arial" w:hAnsi="Arial"/>
          <w:b w:val="true"/>
          <w:sz w:val="30"/>
        </w:rPr>
        <w:t>3.1 PCB钻孔用气浮电主轴</w:t>
      </w:r>
      <w:bookmarkEnd w:id="83"/>
    </w:p>
    <w:p>
      <w:pPr>
        <w:spacing w:before="120" w:after="120" w:line="288" w:lineRule="auto"/>
        <w:ind w:left="0"/>
        <w:jc w:val="left"/>
      </w:pPr>
      <w:r>
        <w:rPr>
          <w:rFonts w:eastAsia="等线" w:ascii="Arial" w:cs="Arial" w:hAnsi="Arial"/>
          <w:sz w:val="22"/>
        </w:rPr>
        <w:t>以洁净压缩空气为润滑介质，采用空气静压气膜无接触支撑，集成高速变频电机，专为印制电路板微孔、高速、高频启停钻孔工艺设计的超高速主轴总成。</w:t>
      </w:r>
    </w:p>
    <w:p>
      <w:pPr>
        <w:pStyle w:val="3"/>
        <w:spacing w:before="300" w:after="120" w:line="288" w:lineRule="auto"/>
        <w:ind w:left="0"/>
        <w:jc w:val="left"/>
        <w:outlineLvl w:val="2"/>
      </w:pPr>
      <w:bookmarkStart w:name="heading_84" w:id="84"/>
      <w:r>
        <w:rPr>
          <w:rFonts w:eastAsia="等线" w:ascii="Arial" w:cs="Arial" w:hAnsi="Arial"/>
          <w:b w:val="true"/>
          <w:sz w:val="30"/>
        </w:rPr>
        <w:t>3.2 微孔钻孔工况</w:t>
      </w:r>
      <w:bookmarkEnd w:id="84"/>
    </w:p>
    <w:p>
      <w:pPr>
        <w:spacing w:before="120" w:after="120" w:line="288" w:lineRule="auto"/>
        <w:ind w:left="0"/>
        <w:jc w:val="left"/>
      </w:pPr>
      <w:r>
        <w:rPr>
          <w:rFonts w:eastAsia="等线" w:ascii="Arial" w:cs="Arial" w:hAnsi="Arial"/>
          <w:sz w:val="22"/>
        </w:rPr>
        <w:t>钻孔孔径≤0.3 mm、高转速、高频进给、频繁抬刀启停的PCB精细加工工况。</w:t>
      </w:r>
    </w:p>
    <w:p>
      <w:pPr>
        <w:pStyle w:val="3"/>
        <w:spacing w:before="300" w:after="120" w:line="288" w:lineRule="auto"/>
        <w:ind w:left="0"/>
        <w:jc w:val="left"/>
        <w:outlineLvl w:val="2"/>
      </w:pPr>
      <w:bookmarkStart w:name="heading_85" w:id="85"/>
      <w:r>
        <w:rPr>
          <w:rFonts w:eastAsia="等线" w:ascii="Arial" w:cs="Arial" w:hAnsi="Arial"/>
          <w:b w:val="true"/>
          <w:sz w:val="30"/>
        </w:rPr>
        <w:t>3.3 连续运行工况</w:t>
      </w:r>
      <w:bookmarkEnd w:id="85"/>
    </w:p>
    <w:p>
      <w:pPr>
        <w:spacing w:before="120" w:after="120" w:line="288" w:lineRule="auto"/>
        <w:ind w:left="0"/>
        <w:jc w:val="left"/>
      </w:pPr>
      <w:r>
        <w:rPr>
          <w:rFonts w:eastAsia="等线" w:ascii="Arial" w:cs="Arial" w:hAnsi="Arial"/>
          <w:sz w:val="22"/>
        </w:rPr>
        <w:t>批量大板连续钻孔、长时间稳态高速运行的生产工况。</w:t>
      </w:r>
    </w:p>
    <w:p>
      <w:pPr>
        <w:pStyle w:val="3"/>
        <w:spacing w:before="300" w:after="120" w:line="288" w:lineRule="auto"/>
        <w:ind w:left="0"/>
        <w:jc w:val="left"/>
        <w:outlineLvl w:val="2"/>
      </w:pPr>
      <w:bookmarkStart w:name="heading_86" w:id="86"/>
      <w:r>
        <w:rPr>
          <w:rFonts w:eastAsia="等线" w:ascii="Arial" w:cs="Arial" w:hAnsi="Arial"/>
          <w:b w:val="true"/>
          <w:sz w:val="30"/>
        </w:rPr>
        <w:t>3.4 主轴动态跳动</w:t>
      </w:r>
      <w:bookmarkEnd w:id="86"/>
    </w:p>
    <w:p>
      <w:pPr>
        <w:spacing w:before="120" w:after="120" w:line="288" w:lineRule="auto"/>
        <w:ind w:left="0"/>
        <w:jc w:val="left"/>
      </w:pPr>
      <w:r>
        <w:rPr>
          <w:rFonts w:eastAsia="等线" w:ascii="Arial" w:cs="Arial" w:hAnsi="Arial"/>
          <w:sz w:val="22"/>
        </w:rPr>
        <w:t>额定转速工作状态下，刀具夹持端的综合径向回转误差，直接决定PCB钻孔孔位精度、孔壁粗糙度、断刀率。</w:t>
      </w:r>
    </w:p>
    <w:p>
      <w:pPr>
        <w:pStyle w:val="3"/>
        <w:spacing w:before="300" w:after="120" w:line="288" w:lineRule="auto"/>
        <w:ind w:left="0"/>
        <w:jc w:val="left"/>
        <w:outlineLvl w:val="2"/>
      </w:pPr>
      <w:bookmarkStart w:name="heading_87" w:id="87"/>
      <w:r>
        <w:rPr>
          <w:rFonts w:eastAsia="等线" w:ascii="Arial" w:cs="Arial" w:hAnsi="Arial"/>
          <w:b w:val="true"/>
          <w:sz w:val="30"/>
        </w:rPr>
        <w:t>3.5 有效使用寿命</w:t>
      </w:r>
      <w:bookmarkEnd w:id="87"/>
    </w:p>
    <w:p>
      <w:pPr>
        <w:spacing w:before="120" w:after="120" w:line="288" w:lineRule="auto"/>
        <w:ind w:left="0"/>
        <w:jc w:val="left"/>
      </w:pPr>
      <w:r>
        <w:rPr>
          <w:rFonts w:eastAsia="等线" w:ascii="Arial" w:cs="Arial" w:hAnsi="Arial"/>
          <w:sz w:val="22"/>
        </w:rPr>
        <w:t>主轴在满足精度、刚度、温升、振动指标前提下，可正常完成PCB钻孔加工的累计工作时长。</w:t>
      </w:r>
    </w:p>
    <w:p>
      <w:pPr>
        <w:pStyle w:val="2"/>
        <w:spacing w:before="320" w:after="120" w:line="288" w:lineRule="auto"/>
        <w:ind w:left="0"/>
        <w:jc w:val="left"/>
        <w:outlineLvl w:val="1"/>
      </w:pPr>
      <w:bookmarkStart w:name="heading_88" w:id="88"/>
      <w:r>
        <w:rPr>
          <w:rFonts w:eastAsia="等线" w:ascii="Arial" w:cs="Arial" w:hAnsi="Arial"/>
          <w:b w:val="true"/>
          <w:sz w:val="32"/>
        </w:rPr>
        <w:t>4 产品分类与基本参数</w:t>
      </w:r>
      <w:bookmarkEnd w:id="88"/>
    </w:p>
    <w:p>
      <w:pPr>
        <w:pStyle w:val="3"/>
        <w:spacing w:before="300" w:after="120" w:line="288" w:lineRule="auto"/>
        <w:ind w:left="0"/>
        <w:jc w:val="left"/>
        <w:outlineLvl w:val="2"/>
      </w:pPr>
      <w:bookmarkStart w:name="heading_89" w:id="89"/>
      <w:r>
        <w:rPr>
          <w:rFonts w:eastAsia="等线" w:ascii="Arial" w:cs="Arial" w:hAnsi="Arial"/>
          <w:b w:val="true"/>
          <w:sz w:val="30"/>
        </w:rPr>
        <w:t>4.1 产品分类</w:t>
      </w:r>
      <w:bookmarkEnd w:id="89"/>
    </w:p>
    <w:p>
      <w:pPr>
        <w:spacing w:before="120" w:after="120" w:line="288" w:lineRule="auto"/>
        <w:ind w:left="0"/>
        <w:jc w:val="left"/>
      </w:pPr>
      <w:r>
        <w:rPr>
          <w:rFonts w:eastAsia="等线" w:ascii="Arial" w:cs="Arial" w:hAnsi="Arial"/>
          <w:sz w:val="22"/>
        </w:rPr>
        <w:t>按节流结构分为：</w:t>
      </w:r>
    </w:p>
    <w:p>
      <w:pPr>
        <w:numPr>
          <w:numId w:val="52"/>
        </w:numPr>
        <w:spacing w:before="120" w:after="120" w:line="288" w:lineRule="auto"/>
        <w:ind w:left="0"/>
        <w:jc w:val="left"/>
      </w:pPr>
      <w:r>
        <w:rPr>
          <w:rFonts w:eastAsia="等线" w:ascii="Arial" w:cs="Arial" w:hAnsi="Arial"/>
          <w:sz w:val="22"/>
        </w:rPr>
        <w:t>小孔节流式PCB气浮电主轴；</w:t>
      </w:r>
    </w:p>
    <w:p>
      <w:pPr>
        <w:numPr>
          <w:numId w:val="53"/>
        </w:numPr>
        <w:spacing w:before="120" w:after="120" w:line="288" w:lineRule="auto"/>
        <w:ind w:left="0"/>
        <w:jc w:val="left"/>
      </w:pPr>
      <w:r>
        <w:rPr>
          <w:rFonts w:eastAsia="等线" w:ascii="Arial" w:cs="Arial" w:hAnsi="Arial"/>
          <w:sz w:val="22"/>
        </w:rPr>
        <w:t>多孔质节流式PCB气浮电主轴。</w:t>
      </w:r>
    </w:p>
    <w:p>
      <w:pPr>
        <w:spacing w:before="120" w:after="120" w:line="288" w:lineRule="auto"/>
        <w:ind w:left="0"/>
        <w:jc w:val="left"/>
      </w:pPr>
      <w:r>
        <w:rPr>
          <w:rFonts w:eastAsia="等线" w:ascii="Arial" w:cs="Arial" w:hAnsi="Arial"/>
          <w:sz w:val="22"/>
        </w:rPr>
        <w:t>按转速等级分为：</w:t>
      </w:r>
    </w:p>
    <w:p>
      <w:pPr>
        <w:numPr>
          <w:numId w:val="54"/>
        </w:numPr>
        <w:spacing w:before="120" w:after="120" w:line="288" w:lineRule="auto"/>
        <w:ind w:left="0"/>
        <w:jc w:val="left"/>
      </w:pPr>
      <w:r>
        <w:rPr>
          <w:rFonts w:eastAsia="等线" w:ascii="Arial" w:cs="Arial" w:hAnsi="Arial"/>
          <w:sz w:val="22"/>
        </w:rPr>
        <w:t>高速型：60000 r/min～80000 r/min；</w:t>
      </w:r>
    </w:p>
    <w:p>
      <w:pPr>
        <w:numPr>
          <w:numId w:val="55"/>
        </w:numPr>
        <w:spacing w:before="120" w:after="120" w:line="288" w:lineRule="auto"/>
        <w:ind w:left="0"/>
        <w:jc w:val="left"/>
      </w:pPr>
      <w:r>
        <w:rPr>
          <w:rFonts w:eastAsia="等线" w:ascii="Arial" w:cs="Arial" w:hAnsi="Arial"/>
          <w:sz w:val="22"/>
        </w:rPr>
        <w:t>超高速型：80000 r/min～120000 r/min；</w:t>
      </w:r>
    </w:p>
    <w:p>
      <w:pPr>
        <w:numPr>
          <w:numId w:val="56"/>
        </w:numPr>
        <w:spacing w:before="120" w:after="120" w:line="288" w:lineRule="auto"/>
        <w:ind w:left="0"/>
        <w:jc w:val="left"/>
      </w:pPr>
      <w:r>
        <w:rPr>
          <w:rFonts w:eastAsia="等线" w:ascii="Arial" w:cs="Arial" w:hAnsi="Arial"/>
          <w:sz w:val="22"/>
        </w:rPr>
        <w:t>超高精密型：＞120000 r/min。</w:t>
      </w:r>
    </w:p>
    <w:p>
      <w:pPr>
        <w:spacing w:before="120" w:after="120" w:line="288" w:lineRule="auto"/>
        <w:ind w:left="0"/>
        <w:jc w:val="left"/>
      </w:pPr>
      <w:r>
        <w:rPr>
          <w:rFonts w:eastAsia="等线" w:ascii="Arial" w:cs="Arial" w:hAnsi="Arial"/>
          <w:sz w:val="22"/>
        </w:rPr>
        <w:t>按冷却方式分为：</w:t>
      </w:r>
    </w:p>
    <w:p>
      <w:pPr>
        <w:numPr>
          <w:numId w:val="57"/>
        </w:numPr>
        <w:spacing w:before="120" w:after="120" w:line="288" w:lineRule="auto"/>
        <w:ind w:left="0"/>
        <w:jc w:val="left"/>
      </w:pPr>
      <w:r>
        <w:rPr>
          <w:rFonts w:eastAsia="等线" w:ascii="Arial" w:cs="Arial" w:hAnsi="Arial"/>
          <w:sz w:val="22"/>
        </w:rPr>
        <w:t>水冷式；</w:t>
      </w:r>
    </w:p>
    <w:p>
      <w:pPr>
        <w:numPr>
          <w:numId w:val="58"/>
        </w:numPr>
        <w:spacing w:before="120" w:after="120" w:line="288" w:lineRule="auto"/>
        <w:ind w:left="0"/>
        <w:jc w:val="left"/>
      </w:pPr>
      <w:r>
        <w:rPr>
          <w:rFonts w:eastAsia="等线" w:ascii="Arial" w:cs="Arial" w:hAnsi="Arial"/>
          <w:sz w:val="22"/>
        </w:rPr>
        <w:t>气冷式。</w:t>
      </w:r>
    </w:p>
    <w:p>
      <w:pPr>
        <w:pStyle w:val="3"/>
        <w:spacing w:before="300" w:after="120" w:line="288" w:lineRule="auto"/>
        <w:ind w:left="0"/>
        <w:jc w:val="left"/>
        <w:outlineLvl w:val="2"/>
      </w:pPr>
      <w:bookmarkStart w:name="heading_90" w:id="90"/>
      <w:r>
        <w:rPr>
          <w:rFonts w:eastAsia="等线" w:ascii="Arial" w:cs="Arial" w:hAnsi="Arial"/>
          <w:b w:val="true"/>
          <w:sz w:val="30"/>
        </w:rPr>
        <w:t>4.2 基本工作条件</w:t>
      </w:r>
      <w:bookmarkEnd w:id="90"/>
    </w:p>
    <w:p>
      <w:pPr>
        <w:spacing w:before="120" w:after="120" w:line="288" w:lineRule="auto"/>
        <w:ind w:left="0"/>
        <w:jc w:val="left"/>
      </w:pPr>
      <w:r>
        <w:rPr>
          <w:rFonts w:eastAsia="等线" w:ascii="Arial" w:cs="Arial" w:hAnsi="Arial"/>
          <w:sz w:val="22"/>
        </w:rPr>
        <w:t>4.2.1 供电条件：高频变频三相供电，电压波动≤±10%。</w:t>
      </w:r>
    </w:p>
    <w:p>
      <w:pPr>
        <w:spacing w:before="120" w:after="120" w:line="288" w:lineRule="auto"/>
        <w:ind w:left="0"/>
        <w:jc w:val="left"/>
      </w:pPr>
      <w:r>
        <w:rPr>
          <w:rFonts w:eastAsia="等线" w:ascii="Arial" w:cs="Arial" w:hAnsi="Arial"/>
          <w:sz w:val="22"/>
        </w:rPr>
        <w:t>4.2.2 气源条件：压缩空气满足ISO 8573-1 Class 2，无油无水，供气压力稳定精度±0.005 MPa。</w:t>
      </w:r>
    </w:p>
    <w:p>
      <w:pPr>
        <w:spacing w:before="120" w:after="120" w:line="288" w:lineRule="auto"/>
        <w:ind w:left="0"/>
        <w:jc w:val="left"/>
      </w:pPr>
      <w:r>
        <w:rPr>
          <w:rFonts w:eastAsia="等线" w:ascii="Arial" w:cs="Arial" w:hAnsi="Arial"/>
          <w:sz w:val="22"/>
        </w:rPr>
        <w:t>4.2.3 环境条件：温度20 ℃±5 ℃，湿度40%RH～60%RH，无尘、无强振动、无强电磁干扰。</w:t>
      </w:r>
    </w:p>
    <w:p>
      <w:pPr>
        <w:pStyle w:val="3"/>
        <w:spacing w:before="300" w:after="120" w:line="288" w:lineRule="auto"/>
        <w:ind w:left="0"/>
        <w:jc w:val="left"/>
        <w:outlineLvl w:val="2"/>
      </w:pPr>
      <w:bookmarkStart w:name="heading_91" w:id="91"/>
      <w:r>
        <w:rPr>
          <w:rFonts w:eastAsia="等线" w:ascii="Arial" w:cs="Arial" w:hAnsi="Arial"/>
          <w:b w:val="true"/>
          <w:sz w:val="30"/>
        </w:rPr>
        <w:t>4.3 优选额定参数系列</w:t>
      </w:r>
      <w:bookmarkEnd w:id="91"/>
    </w:p>
    <w:p>
      <w:pPr>
        <w:spacing w:before="120" w:after="120" w:line="288" w:lineRule="auto"/>
        <w:ind w:left="0"/>
        <w:jc w:val="left"/>
      </w:pPr>
      <w:r>
        <w:rPr>
          <w:rFonts w:eastAsia="等线" w:ascii="Arial" w:cs="Arial" w:hAnsi="Arial"/>
          <w:sz w:val="22"/>
        </w:rPr>
        <w:t>包含额定转速、额定气压、耗气量、额定功率、夹持刀柄规格、适用孔径范围，详见附录A。</w:t>
      </w:r>
    </w:p>
    <w:p>
      <w:pPr>
        <w:pStyle w:val="2"/>
        <w:spacing w:before="320" w:after="120" w:line="288" w:lineRule="auto"/>
        <w:ind w:left="0"/>
        <w:jc w:val="left"/>
        <w:outlineLvl w:val="1"/>
      </w:pPr>
      <w:bookmarkStart w:name="heading_92" w:id="92"/>
      <w:r>
        <w:rPr>
          <w:rFonts w:eastAsia="等线" w:ascii="Arial" w:cs="Arial" w:hAnsi="Arial"/>
          <w:b w:val="true"/>
          <w:sz w:val="32"/>
        </w:rPr>
        <w:t>5 通用技术要求</w:t>
      </w:r>
      <w:bookmarkEnd w:id="92"/>
    </w:p>
    <w:p>
      <w:pPr>
        <w:pStyle w:val="3"/>
        <w:spacing w:before="300" w:after="120" w:line="288" w:lineRule="auto"/>
        <w:ind w:left="0"/>
        <w:jc w:val="left"/>
        <w:outlineLvl w:val="2"/>
      </w:pPr>
      <w:bookmarkStart w:name="heading_93" w:id="93"/>
      <w:r>
        <w:rPr>
          <w:rFonts w:eastAsia="等线" w:ascii="Arial" w:cs="Arial" w:hAnsi="Arial"/>
          <w:b w:val="true"/>
          <w:sz w:val="30"/>
        </w:rPr>
        <w:t>5.1 结构要求</w:t>
      </w:r>
      <w:bookmarkEnd w:id="93"/>
    </w:p>
    <w:p>
      <w:pPr>
        <w:spacing w:before="120" w:after="120" w:line="288" w:lineRule="auto"/>
        <w:ind w:left="0"/>
        <w:jc w:val="left"/>
      </w:pPr>
      <w:r>
        <w:rPr>
          <w:rFonts w:eastAsia="等线" w:ascii="Arial" w:cs="Arial" w:hAnsi="Arial"/>
          <w:sz w:val="22"/>
        </w:rPr>
        <w:t>5.1.1 主轴总成结构紧凑、同轴度高，壳体刚性强，抗加工冲击能力适配PCB高频钻孔工况。</w:t>
      </w:r>
    </w:p>
    <w:p>
      <w:pPr>
        <w:spacing w:before="120" w:after="120" w:line="288" w:lineRule="auto"/>
        <w:ind w:left="0"/>
        <w:jc w:val="left"/>
      </w:pPr>
      <w:r>
        <w:rPr>
          <w:rFonts w:eastAsia="等线" w:ascii="Arial" w:cs="Arial" w:hAnsi="Arial"/>
          <w:sz w:val="22"/>
        </w:rPr>
        <w:t>5.1.2 气路系统密封可靠，长期工作无渗漏、无节流孔堵塞、无积尘积油。</w:t>
      </w:r>
    </w:p>
    <w:p>
      <w:pPr>
        <w:spacing w:before="120" w:after="120" w:line="288" w:lineRule="auto"/>
        <w:ind w:left="0"/>
        <w:jc w:val="left"/>
      </w:pPr>
      <w:r>
        <w:rPr>
          <w:rFonts w:eastAsia="等线" w:ascii="Arial" w:cs="Arial" w:hAnsi="Arial"/>
          <w:sz w:val="22"/>
        </w:rPr>
        <w:t>5.1.3 刀具夹持结构拆装便捷、重复定位精度高，满足频繁换刀、高频钻孔需求。</w:t>
      </w:r>
    </w:p>
    <w:p>
      <w:pPr>
        <w:spacing w:before="120" w:after="120" w:line="288" w:lineRule="auto"/>
        <w:ind w:left="0"/>
        <w:jc w:val="left"/>
      </w:pPr>
      <w:r>
        <w:rPr>
          <w:rFonts w:eastAsia="等线" w:ascii="Arial" w:cs="Arial" w:hAnsi="Arial"/>
          <w:sz w:val="22"/>
        </w:rPr>
        <w:t>5.1.4 冷却流道布局合理，热均衡性好，长时间高速运行无局部过热。</w:t>
      </w:r>
    </w:p>
    <w:p>
      <w:pPr>
        <w:pStyle w:val="3"/>
        <w:spacing w:before="300" w:after="120" w:line="288" w:lineRule="auto"/>
        <w:ind w:left="0"/>
        <w:jc w:val="left"/>
        <w:outlineLvl w:val="2"/>
      </w:pPr>
      <w:bookmarkStart w:name="heading_94" w:id="94"/>
      <w:r>
        <w:rPr>
          <w:rFonts w:eastAsia="等线" w:ascii="Arial" w:cs="Arial" w:hAnsi="Arial"/>
          <w:b w:val="true"/>
          <w:sz w:val="30"/>
        </w:rPr>
        <w:t>5.2 材料与工艺要求</w:t>
      </w:r>
      <w:bookmarkEnd w:id="94"/>
    </w:p>
    <w:p>
      <w:pPr>
        <w:spacing w:before="120" w:after="120" w:line="288" w:lineRule="auto"/>
        <w:ind w:left="0"/>
        <w:jc w:val="left"/>
      </w:pPr>
      <w:r>
        <w:rPr>
          <w:rFonts w:eastAsia="等线" w:ascii="Arial" w:cs="Arial" w:hAnsi="Arial"/>
          <w:sz w:val="22"/>
        </w:rPr>
        <w:t>5.2.1 转子、轴承套采用高硬度、低膨胀、耐磨精密合金材料，经精密磨削、时效处理，保证长期尺寸稳定性。</w:t>
      </w:r>
    </w:p>
    <w:p>
      <w:pPr>
        <w:spacing w:before="120" w:after="120" w:line="288" w:lineRule="auto"/>
        <w:ind w:left="0"/>
        <w:jc w:val="left"/>
      </w:pPr>
      <w:r>
        <w:rPr>
          <w:rFonts w:eastAsia="等线" w:ascii="Arial" w:cs="Arial" w:hAnsi="Arial"/>
          <w:sz w:val="22"/>
        </w:rPr>
        <w:t>5.2.2 节流结构加工精度高，节流均匀性一致性好，单批次气膜性能离散度小。</w:t>
      </w:r>
    </w:p>
    <w:p>
      <w:pPr>
        <w:spacing w:before="120" w:after="120" w:line="288" w:lineRule="auto"/>
        <w:ind w:left="0"/>
        <w:jc w:val="left"/>
      </w:pPr>
      <w:r>
        <w:rPr>
          <w:rFonts w:eastAsia="等线" w:ascii="Arial" w:cs="Arial" w:hAnsi="Arial"/>
          <w:sz w:val="22"/>
        </w:rPr>
        <w:t>5.2.3 转子动平衡等级不低于G1级，杜绝高速振源。</w:t>
      </w:r>
    </w:p>
    <w:p>
      <w:pPr>
        <w:pStyle w:val="3"/>
        <w:spacing w:before="300" w:after="120" w:line="288" w:lineRule="auto"/>
        <w:ind w:left="0"/>
        <w:jc w:val="left"/>
        <w:outlineLvl w:val="2"/>
      </w:pPr>
      <w:bookmarkStart w:name="heading_95" w:id="95"/>
      <w:r>
        <w:rPr>
          <w:rFonts w:eastAsia="等线" w:ascii="Arial" w:cs="Arial" w:hAnsi="Arial"/>
          <w:b w:val="true"/>
          <w:sz w:val="30"/>
        </w:rPr>
        <w:t>5.3 装配要求</w:t>
      </w:r>
      <w:bookmarkEnd w:id="95"/>
    </w:p>
    <w:p>
      <w:pPr>
        <w:spacing w:before="120" w:after="120" w:line="288" w:lineRule="auto"/>
        <w:ind w:left="0"/>
        <w:jc w:val="left"/>
      </w:pPr>
      <w:r>
        <w:rPr>
          <w:rFonts w:eastAsia="等线" w:ascii="Arial" w:cs="Arial" w:hAnsi="Arial"/>
          <w:sz w:val="22"/>
        </w:rPr>
        <w:t>5.3.1 整机在无尘精密车间装配，杜绝粉尘进入气膜间隙。</w:t>
      </w:r>
    </w:p>
    <w:p>
      <w:pPr>
        <w:spacing w:before="120" w:after="120" w:line="288" w:lineRule="auto"/>
        <w:ind w:left="0"/>
        <w:jc w:val="left"/>
      </w:pPr>
      <w:r>
        <w:rPr>
          <w:rFonts w:eastAsia="等线" w:ascii="Arial" w:cs="Arial" w:hAnsi="Arial"/>
          <w:sz w:val="22"/>
        </w:rPr>
        <w:t>5.3.2 装配同轴度、端面垂直度、气路密封性严格受控。</w:t>
      </w:r>
    </w:p>
    <w:p>
      <w:pPr>
        <w:spacing w:before="120" w:after="120" w:line="288" w:lineRule="auto"/>
        <w:ind w:left="0"/>
        <w:jc w:val="left"/>
      </w:pPr>
      <w:r>
        <w:rPr>
          <w:rFonts w:eastAsia="等线" w:ascii="Arial" w:cs="Arial" w:hAnsi="Arial"/>
          <w:sz w:val="22"/>
        </w:rPr>
        <w:t>5.3.3 整机出厂经过连续热跑合、高低速磨合、气密性全检。</w:t>
      </w:r>
    </w:p>
    <w:p>
      <w:pPr>
        <w:pStyle w:val="3"/>
        <w:spacing w:before="300" w:after="120" w:line="288" w:lineRule="auto"/>
        <w:ind w:left="0"/>
        <w:jc w:val="left"/>
        <w:outlineLvl w:val="2"/>
      </w:pPr>
      <w:bookmarkStart w:name="heading_96" w:id="96"/>
      <w:r>
        <w:rPr>
          <w:rFonts w:eastAsia="等线" w:ascii="Arial" w:cs="Arial" w:hAnsi="Arial"/>
          <w:b w:val="true"/>
          <w:sz w:val="30"/>
        </w:rPr>
        <w:t>5.4 电气性能要求</w:t>
      </w:r>
      <w:bookmarkEnd w:id="96"/>
    </w:p>
    <w:p>
      <w:pPr>
        <w:spacing w:before="120" w:after="120" w:line="288" w:lineRule="auto"/>
        <w:ind w:left="0"/>
        <w:jc w:val="left"/>
      </w:pPr>
      <w:r>
        <w:rPr>
          <w:rFonts w:eastAsia="等线" w:ascii="Arial" w:cs="Arial" w:hAnsi="Arial"/>
          <w:sz w:val="22"/>
        </w:rPr>
        <w:t>5.4.1 电机温升低、转速响应快，支持高频启停、快速加减速。</w:t>
      </w:r>
    </w:p>
    <w:p>
      <w:pPr>
        <w:spacing w:before="120" w:after="120" w:line="288" w:lineRule="auto"/>
        <w:ind w:left="0"/>
        <w:jc w:val="left"/>
      </w:pPr>
      <w:r>
        <w:rPr>
          <w:rFonts w:eastAsia="等线" w:ascii="Arial" w:cs="Arial" w:hAnsi="Arial"/>
          <w:sz w:val="22"/>
        </w:rPr>
        <w:t>5.4.2 绝缘性能良好，耐压、绝缘电阻符合高速电主轴规范。</w:t>
      </w:r>
    </w:p>
    <w:p>
      <w:pPr>
        <w:spacing w:before="120" w:after="120" w:line="288" w:lineRule="auto"/>
        <w:ind w:left="0"/>
        <w:jc w:val="left"/>
      </w:pPr>
      <w:r>
        <w:rPr>
          <w:rFonts w:eastAsia="等线" w:ascii="Arial" w:cs="Arial" w:hAnsi="Arial"/>
          <w:sz w:val="22"/>
        </w:rPr>
        <w:t>5.4.3 运行噪声低、电磁干扰小，适配精密数控钻孔设备控制系统。</w:t>
      </w:r>
    </w:p>
    <w:p>
      <w:pPr>
        <w:pStyle w:val="2"/>
        <w:spacing w:before="320" w:after="120" w:line="288" w:lineRule="auto"/>
        <w:ind w:left="0"/>
        <w:jc w:val="left"/>
        <w:outlineLvl w:val="1"/>
      </w:pPr>
      <w:bookmarkStart w:name="heading_97" w:id="97"/>
      <w:r>
        <w:rPr>
          <w:rFonts w:eastAsia="等线" w:ascii="Arial" w:cs="Arial" w:hAnsi="Arial"/>
          <w:b w:val="true"/>
          <w:sz w:val="32"/>
        </w:rPr>
        <w:t>6 性能指标要求</w:t>
      </w:r>
      <w:bookmarkEnd w:id="97"/>
    </w:p>
    <w:p>
      <w:pPr>
        <w:pStyle w:val="3"/>
        <w:spacing w:before="300" w:after="120" w:line="288" w:lineRule="auto"/>
        <w:ind w:left="0"/>
        <w:jc w:val="left"/>
        <w:outlineLvl w:val="2"/>
      </w:pPr>
      <w:bookmarkStart w:name="heading_98" w:id="98"/>
      <w:r>
        <w:rPr>
          <w:rFonts w:eastAsia="等线" w:ascii="Arial" w:cs="Arial" w:hAnsi="Arial"/>
          <w:b w:val="true"/>
          <w:sz w:val="30"/>
        </w:rPr>
        <w:t>6.1 回转精度</w:t>
      </w:r>
      <w:bookmarkEnd w:id="98"/>
    </w:p>
    <w:p>
      <w:pPr>
        <w:spacing w:before="120" w:after="120" w:line="288" w:lineRule="auto"/>
        <w:ind w:left="0"/>
        <w:jc w:val="left"/>
      </w:pPr>
      <w:r>
        <w:rPr>
          <w:rFonts w:eastAsia="等线" w:ascii="Arial" w:cs="Arial" w:hAnsi="Arial"/>
          <w:sz w:val="22"/>
        </w:rPr>
        <w:t>6.1.1 静态回转精度：刀具端径向跳动≤1.0 μm。</w:t>
      </w:r>
    </w:p>
    <w:p>
      <w:pPr>
        <w:spacing w:before="120" w:after="120" w:line="288" w:lineRule="auto"/>
        <w:ind w:left="0"/>
        <w:jc w:val="left"/>
      </w:pPr>
      <w:r>
        <w:rPr>
          <w:rFonts w:eastAsia="等线" w:ascii="Arial" w:cs="Arial" w:hAnsi="Arial"/>
          <w:sz w:val="22"/>
        </w:rPr>
        <w:t>6.1.2 额定转速动态回转精度：刀具端径向跳动≤1.5 μm。</w:t>
      </w:r>
    </w:p>
    <w:p>
      <w:pPr>
        <w:spacing w:before="120" w:after="120" w:line="288" w:lineRule="auto"/>
        <w:ind w:left="0"/>
        <w:jc w:val="left"/>
      </w:pPr>
      <w:r>
        <w:rPr>
          <w:rFonts w:eastAsia="等线" w:ascii="Arial" w:cs="Arial" w:hAnsi="Arial"/>
          <w:sz w:val="22"/>
        </w:rPr>
        <w:t>6.1.3 长时间运行后精度衰减量不大于0.3 μm/1000 h。</w:t>
      </w:r>
    </w:p>
    <w:p>
      <w:pPr>
        <w:pStyle w:val="3"/>
        <w:spacing w:before="300" w:after="120" w:line="288" w:lineRule="auto"/>
        <w:ind w:left="0"/>
        <w:jc w:val="left"/>
        <w:outlineLvl w:val="2"/>
      </w:pPr>
      <w:bookmarkStart w:name="heading_99" w:id="99"/>
      <w:r>
        <w:rPr>
          <w:rFonts w:eastAsia="等线" w:ascii="Arial" w:cs="Arial" w:hAnsi="Arial"/>
          <w:b w:val="true"/>
          <w:sz w:val="30"/>
        </w:rPr>
        <w:t>6.2 气膜性能</w:t>
      </w:r>
      <w:bookmarkEnd w:id="99"/>
    </w:p>
    <w:p>
      <w:pPr>
        <w:spacing w:before="120" w:after="120" w:line="288" w:lineRule="auto"/>
        <w:ind w:left="0"/>
        <w:jc w:val="left"/>
      </w:pPr>
      <w:r>
        <w:rPr>
          <w:rFonts w:eastAsia="等线" w:ascii="Arial" w:cs="Arial" w:hAnsi="Arial"/>
          <w:sz w:val="22"/>
        </w:rPr>
        <w:t>6.2.1 额定供气压力下，气膜悬浮稳定，无飘移、无气膜抖动。</w:t>
      </w:r>
    </w:p>
    <w:p>
      <w:pPr>
        <w:spacing w:before="120" w:after="120" w:line="288" w:lineRule="auto"/>
        <w:ind w:left="0"/>
        <w:jc w:val="left"/>
      </w:pPr>
      <w:r>
        <w:rPr>
          <w:rFonts w:eastAsia="等线" w:ascii="Arial" w:cs="Arial" w:hAnsi="Arial"/>
          <w:sz w:val="22"/>
        </w:rPr>
        <w:t>6.2.2 径向、轴向气膜刚度满足PCB钻孔抗冲击需求，刚度滞回误差≤5%。</w:t>
      </w:r>
    </w:p>
    <w:p>
      <w:pPr>
        <w:spacing w:before="120" w:after="120" w:line="288" w:lineRule="auto"/>
        <w:ind w:left="0"/>
        <w:jc w:val="left"/>
      </w:pPr>
      <w:r>
        <w:rPr>
          <w:rFonts w:eastAsia="等线" w:ascii="Arial" w:cs="Arial" w:hAnsi="Arial"/>
          <w:sz w:val="22"/>
        </w:rPr>
        <w:t>6.2.3 载荷波动工况下无气膜失稳、无转子碰磨。</w:t>
      </w:r>
    </w:p>
    <w:p>
      <w:pPr>
        <w:pStyle w:val="3"/>
        <w:spacing w:before="300" w:after="120" w:line="288" w:lineRule="auto"/>
        <w:ind w:left="0"/>
        <w:jc w:val="left"/>
        <w:outlineLvl w:val="2"/>
      </w:pPr>
      <w:bookmarkStart w:name="heading_100" w:id="100"/>
      <w:r>
        <w:rPr>
          <w:rFonts w:eastAsia="等线" w:ascii="Arial" w:cs="Arial" w:hAnsi="Arial"/>
          <w:b w:val="true"/>
          <w:sz w:val="30"/>
        </w:rPr>
        <w:t>6.3 振动与噪声</w:t>
      </w:r>
      <w:bookmarkEnd w:id="100"/>
    </w:p>
    <w:p>
      <w:pPr>
        <w:spacing w:before="120" w:after="120" w:line="288" w:lineRule="auto"/>
        <w:ind w:left="0"/>
        <w:jc w:val="left"/>
      </w:pPr>
      <w:r>
        <w:rPr>
          <w:rFonts w:eastAsia="等线" w:ascii="Arial" w:cs="Arial" w:hAnsi="Arial"/>
          <w:sz w:val="22"/>
        </w:rPr>
        <w:t>6.3.1 额定转速稳态运行，壳体振动有效值符合GB/T 6075.3精密设备等级。</w:t>
      </w:r>
    </w:p>
    <w:p>
      <w:pPr>
        <w:spacing w:before="120" w:after="120" w:line="288" w:lineRule="auto"/>
        <w:ind w:left="0"/>
        <w:jc w:val="left"/>
      </w:pPr>
      <w:r>
        <w:rPr>
          <w:rFonts w:eastAsia="等线" w:ascii="Arial" w:cs="Arial" w:hAnsi="Arial"/>
          <w:sz w:val="22"/>
        </w:rPr>
        <w:t>6.3.2 整机运行无高频异振、无周期性振动峰值。</w:t>
      </w:r>
    </w:p>
    <w:p>
      <w:pPr>
        <w:spacing w:before="120" w:after="120" w:line="288" w:lineRule="auto"/>
        <w:ind w:left="0"/>
        <w:jc w:val="left"/>
      </w:pPr>
      <w:r>
        <w:rPr>
          <w:rFonts w:eastAsia="等线" w:ascii="Arial" w:cs="Arial" w:hAnsi="Arial"/>
          <w:sz w:val="22"/>
        </w:rPr>
        <w:t>6.3.3 整机噪声≤65 dB（A计权，1 m距离）。</w:t>
      </w:r>
    </w:p>
    <w:p>
      <w:pPr>
        <w:pStyle w:val="3"/>
        <w:spacing w:before="300" w:after="120" w:line="288" w:lineRule="auto"/>
        <w:ind w:left="0"/>
        <w:jc w:val="left"/>
        <w:outlineLvl w:val="2"/>
      </w:pPr>
      <w:bookmarkStart w:name="heading_101" w:id="101"/>
      <w:r>
        <w:rPr>
          <w:rFonts w:eastAsia="等线" w:ascii="Arial" w:cs="Arial" w:hAnsi="Arial"/>
          <w:b w:val="true"/>
          <w:sz w:val="30"/>
        </w:rPr>
        <w:t>6.4 温升性能</w:t>
      </w:r>
      <w:bookmarkEnd w:id="101"/>
    </w:p>
    <w:p>
      <w:pPr>
        <w:spacing w:before="120" w:after="120" w:line="288" w:lineRule="auto"/>
        <w:ind w:left="0"/>
        <w:jc w:val="left"/>
      </w:pPr>
      <w:r>
        <w:rPr>
          <w:rFonts w:eastAsia="等线" w:ascii="Arial" w:cs="Arial" w:hAnsi="Arial"/>
          <w:sz w:val="22"/>
        </w:rPr>
        <w:t>额定转速连续满载运行，热平衡后壳体稳态温升≤45 K，温度无持续爬升、无周期性热波动。</w:t>
      </w:r>
    </w:p>
    <w:p>
      <w:pPr>
        <w:pStyle w:val="3"/>
        <w:spacing w:before="300" w:after="120" w:line="288" w:lineRule="auto"/>
        <w:ind w:left="0"/>
        <w:jc w:val="left"/>
        <w:outlineLvl w:val="2"/>
      </w:pPr>
      <w:bookmarkStart w:name="heading_102" w:id="102"/>
      <w:r>
        <w:rPr>
          <w:rFonts w:eastAsia="等线" w:ascii="Arial" w:cs="Arial" w:hAnsi="Arial"/>
          <w:b w:val="true"/>
          <w:sz w:val="30"/>
        </w:rPr>
        <w:t>6.5 转速性能</w:t>
      </w:r>
      <w:bookmarkEnd w:id="102"/>
    </w:p>
    <w:p>
      <w:pPr>
        <w:spacing w:before="120" w:after="120" w:line="288" w:lineRule="auto"/>
        <w:ind w:left="0"/>
        <w:jc w:val="left"/>
      </w:pPr>
      <w:r>
        <w:rPr>
          <w:rFonts w:eastAsia="等线" w:ascii="Arial" w:cs="Arial" w:hAnsi="Arial"/>
          <w:sz w:val="22"/>
        </w:rPr>
        <w:t>6.5.1 转速稳态精度≤±0.5%FS。</w:t>
      </w:r>
    </w:p>
    <w:p>
      <w:pPr>
        <w:spacing w:before="120" w:after="120" w:line="288" w:lineRule="auto"/>
        <w:ind w:left="0"/>
        <w:jc w:val="left"/>
      </w:pPr>
      <w:r>
        <w:rPr>
          <w:rFonts w:eastAsia="等线" w:ascii="Arial" w:cs="Arial" w:hAnsi="Arial"/>
          <w:sz w:val="22"/>
        </w:rPr>
        <w:t>6.5.2 加减速响应迅速，无转速超调、无转速漂移。</w:t>
      </w:r>
    </w:p>
    <w:p>
      <w:pPr>
        <w:spacing w:before="120" w:after="120" w:line="288" w:lineRule="auto"/>
        <w:ind w:left="0"/>
        <w:jc w:val="left"/>
      </w:pPr>
      <w:r>
        <w:rPr>
          <w:rFonts w:eastAsia="等线" w:ascii="Arial" w:cs="Arial" w:hAnsi="Arial"/>
          <w:sz w:val="22"/>
        </w:rPr>
        <w:t>6.5.3 高频启停工况下转速重复性优异，满足微孔钻孔一致性要求。</w:t>
      </w:r>
    </w:p>
    <w:p>
      <w:pPr>
        <w:pStyle w:val="3"/>
        <w:spacing w:before="300" w:after="120" w:line="288" w:lineRule="auto"/>
        <w:ind w:left="0"/>
        <w:jc w:val="left"/>
        <w:outlineLvl w:val="2"/>
      </w:pPr>
      <w:bookmarkStart w:name="heading_103" w:id="103"/>
      <w:r>
        <w:rPr>
          <w:rFonts w:eastAsia="等线" w:ascii="Arial" w:cs="Arial" w:hAnsi="Arial"/>
          <w:b w:val="true"/>
          <w:sz w:val="30"/>
        </w:rPr>
        <w:t>6.6 钻孔工艺性能</w:t>
      </w:r>
      <w:bookmarkEnd w:id="103"/>
    </w:p>
    <w:p>
      <w:pPr>
        <w:spacing w:before="120" w:after="120" w:line="288" w:lineRule="auto"/>
        <w:ind w:left="0"/>
        <w:jc w:val="left"/>
      </w:pPr>
      <w:r>
        <w:rPr>
          <w:rFonts w:eastAsia="等线" w:ascii="Arial" w:cs="Arial" w:hAnsi="Arial"/>
          <w:sz w:val="22"/>
        </w:rPr>
        <w:t>6.6.1 适配0.1 mm～6.0 mm PCB常规孔径加工。</w:t>
      </w:r>
    </w:p>
    <w:p>
      <w:pPr>
        <w:spacing w:before="120" w:after="120" w:line="288" w:lineRule="auto"/>
        <w:ind w:left="0"/>
        <w:jc w:val="left"/>
      </w:pPr>
      <w:r>
        <w:rPr>
          <w:rFonts w:eastAsia="等线" w:ascii="Arial" w:cs="Arial" w:hAnsi="Arial"/>
          <w:sz w:val="22"/>
        </w:rPr>
        <w:t>6.6.2 加工孔位精度高、孔壁光滑、少毛刺，断刀率低。</w:t>
      </w:r>
    </w:p>
    <w:p>
      <w:pPr>
        <w:spacing w:before="120" w:after="120" w:line="288" w:lineRule="auto"/>
        <w:ind w:left="0"/>
        <w:jc w:val="left"/>
      </w:pPr>
      <w:r>
        <w:rPr>
          <w:rFonts w:eastAsia="等线" w:ascii="Arial" w:cs="Arial" w:hAnsi="Arial"/>
          <w:sz w:val="22"/>
        </w:rPr>
        <w:t>6.6.3 可长期耐受高频抬刀、高频启停冲击工况。</w:t>
      </w:r>
    </w:p>
    <w:p>
      <w:pPr>
        <w:pStyle w:val="2"/>
        <w:spacing w:before="320" w:after="120" w:line="288" w:lineRule="auto"/>
        <w:ind w:left="0"/>
        <w:jc w:val="left"/>
        <w:outlineLvl w:val="1"/>
      </w:pPr>
      <w:bookmarkStart w:name="heading_104" w:id="104"/>
      <w:r>
        <w:rPr>
          <w:rFonts w:eastAsia="等线" w:ascii="Arial" w:cs="Arial" w:hAnsi="Arial"/>
          <w:b w:val="true"/>
          <w:sz w:val="32"/>
        </w:rPr>
        <w:t>7 安全、防护与可靠性要求</w:t>
      </w:r>
      <w:bookmarkEnd w:id="104"/>
    </w:p>
    <w:p>
      <w:pPr>
        <w:pStyle w:val="3"/>
        <w:spacing w:before="300" w:after="120" w:line="288" w:lineRule="auto"/>
        <w:ind w:left="0"/>
        <w:jc w:val="left"/>
        <w:outlineLvl w:val="2"/>
      </w:pPr>
      <w:bookmarkStart w:name="heading_105" w:id="105"/>
      <w:r>
        <w:rPr>
          <w:rFonts w:eastAsia="等线" w:ascii="Arial" w:cs="Arial" w:hAnsi="Arial"/>
          <w:b w:val="true"/>
          <w:sz w:val="30"/>
        </w:rPr>
        <w:t>7.1 安全保护功能</w:t>
      </w:r>
      <w:bookmarkEnd w:id="105"/>
    </w:p>
    <w:p>
      <w:pPr>
        <w:spacing w:before="120" w:after="120" w:line="288" w:lineRule="auto"/>
        <w:ind w:left="0"/>
        <w:jc w:val="left"/>
      </w:pPr>
      <w:r>
        <w:rPr>
          <w:rFonts w:eastAsia="等线" w:ascii="Arial" w:cs="Arial" w:hAnsi="Arial"/>
          <w:sz w:val="22"/>
        </w:rPr>
        <w:t>7.1.1 具备低压保护、失气保护，气压不足禁止启动、运行中失气自动停机，防止干磨碰磨报废。</w:t>
      </w:r>
    </w:p>
    <w:p>
      <w:pPr>
        <w:spacing w:before="120" w:after="120" w:line="288" w:lineRule="auto"/>
        <w:ind w:left="0"/>
        <w:jc w:val="left"/>
      </w:pPr>
      <w:r>
        <w:rPr>
          <w:rFonts w:eastAsia="等线" w:ascii="Arial" w:cs="Arial" w:hAnsi="Arial"/>
          <w:sz w:val="22"/>
        </w:rPr>
        <w:t>7.1.2 具备超温保护、超速保护、过载保护、故障报警输出功能。</w:t>
      </w:r>
    </w:p>
    <w:p>
      <w:pPr>
        <w:spacing w:before="120" w:after="120" w:line="288" w:lineRule="auto"/>
        <w:ind w:left="0"/>
        <w:jc w:val="left"/>
      </w:pPr>
      <w:r>
        <w:rPr>
          <w:rFonts w:eastAsia="等线" w:ascii="Arial" w:cs="Arial" w:hAnsi="Arial"/>
          <w:sz w:val="22"/>
        </w:rPr>
        <w:t>7.1.3 具备故障自锁、状态信号反馈，适配自动化设备联锁逻辑。</w:t>
      </w:r>
    </w:p>
    <w:p>
      <w:pPr>
        <w:pStyle w:val="3"/>
        <w:spacing w:before="300" w:after="120" w:line="288" w:lineRule="auto"/>
        <w:ind w:left="0"/>
        <w:jc w:val="left"/>
        <w:outlineLvl w:val="2"/>
      </w:pPr>
      <w:bookmarkStart w:name="heading_106" w:id="106"/>
      <w:r>
        <w:rPr>
          <w:rFonts w:eastAsia="等线" w:ascii="Arial" w:cs="Arial" w:hAnsi="Arial"/>
          <w:b w:val="true"/>
          <w:sz w:val="30"/>
        </w:rPr>
        <w:t>7.2 防护等级</w:t>
      </w:r>
      <w:bookmarkEnd w:id="106"/>
    </w:p>
    <w:p>
      <w:pPr>
        <w:spacing w:before="120" w:after="120" w:line="288" w:lineRule="auto"/>
        <w:ind w:left="0"/>
        <w:jc w:val="left"/>
      </w:pPr>
      <w:r>
        <w:rPr>
          <w:rFonts w:eastAsia="等线" w:ascii="Arial" w:cs="Arial" w:hAnsi="Arial"/>
          <w:sz w:val="22"/>
        </w:rPr>
        <w:t>整机防尘、防湿气，适配PCB车间粉尘、潮湿工况，内部气路、电路具备可靠防护。</w:t>
      </w:r>
    </w:p>
    <w:p>
      <w:pPr>
        <w:pStyle w:val="3"/>
        <w:spacing w:before="300" w:after="120" w:line="288" w:lineRule="auto"/>
        <w:ind w:left="0"/>
        <w:jc w:val="left"/>
        <w:outlineLvl w:val="2"/>
      </w:pPr>
      <w:bookmarkStart w:name="heading_107" w:id="107"/>
      <w:r>
        <w:rPr>
          <w:rFonts w:eastAsia="等线" w:ascii="Arial" w:cs="Arial" w:hAnsi="Arial"/>
          <w:b w:val="true"/>
          <w:sz w:val="30"/>
        </w:rPr>
        <w:t>7.3 可靠性指标</w:t>
      </w:r>
      <w:bookmarkEnd w:id="107"/>
    </w:p>
    <w:p>
      <w:pPr>
        <w:spacing w:before="120" w:after="120" w:line="288" w:lineRule="auto"/>
        <w:ind w:left="0"/>
        <w:jc w:val="left"/>
      </w:pPr>
      <w:r>
        <w:rPr>
          <w:rFonts w:eastAsia="等线" w:ascii="Arial" w:cs="Arial" w:hAnsi="Arial"/>
          <w:sz w:val="22"/>
        </w:rPr>
        <w:t>7.3.1 平均无故障工作时间MTBF≥8000 h（常规生产工况）。</w:t>
      </w:r>
    </w:p>
    <w:p>
      <w:pPr>
        <w:spacing w:before="120" w:after="120" w:line="288" w:lineRule="auto"/>
        <w:ind w:left="0"/>
        <w:jc w:val="left"/>
      </w:pPr>
      <w:r>
        <w:rPr>
          <w:rFonts w:eastAsia="等线" w:ascii="Arial" w:cs="Arial" w:hAnsi="Arial"/>
          <w:sz w:val="22"/>
        </w:rPr>
        <w:t>7.3.2 B10寿命≥5000 h。</w:t>
      </w:r>
    </w:p>
    <w:p>
      <w:pPr>
        <w:spacing w:before="120" w:after="120" w:line="288" w:lineRule="auto"/>
        <w:ind w:left="0"/>
        <w:jc w:val="left"/>
      </w:pPr>
      <w:r>
        <w:rPr>
          <w:rFonts w:eastAsia="等线" w:ascii="Arial" w:cs="Arial" w:hAnsi="Arial"/>
          <w:sz w:val="22"/>
        </w:rPr>
        <w:t>7.3.3 高频启停循环寿命≥500万次无性能失效。</w:t>
      </w:r>
    </w:p>
    <w:p>
      <w:pPr>
        <w:spacing w:before="120" w:after="120" w:line="288" w:lineRule="auto"/>
        <w:ind w:left="0"/>
        <w:jc w:val="left"/>
      </w:pPr>
      <w:r>
        <w:rPr>
          <w:rFonts w:eastAsia="等线" w:ascii="Arial" w:cs="Arial" w:hAnsi="Arial"/>
          <w:sz w:val="22"/>
        </w:rPr>
        <w:t>7.3.4 整机精度保持性优异，长期批量生产无明显性能衰减。</w:t>
      </w:r>
    </w:p>
    <w:p>
      <w:pPr>
        <w:pStyle w:val="3"/>
        <w:spacing w:before="300" w:after="120" w:line="288" w:lineRule="auto"/>
        <w:ind w:left="0"/>
        <w:jc w:val="left"/>
        <w:outlineLvl w:val="2"/>
      </w:pPr>
      <w:bookmarkStart w:name="heading_108" w:id="108"/>
      <w:r>
        <w:rPr>
          <w:rFonts w:eastAsia="等线" w:ascii="Arial" w:cs="Arial" w:hAnsi="Arial"/>
          <w:b w:val="true"/>
          <w:sz w:val="30"/>
        </w:rPr>
        <w:t>7.4 环境适应性</w:t>
      </w:r>
      <w:bookmarkEnd w:id="108"/>
    </w:p>
    <w:p>
      <w:pPr>
        <w:spacing w:before="120" w:after="120" w:line="288" w:lineRule="auto"/>
        <w:ind w:left="0"/>
        <w:jc w:val="left"/>
      </w:pPr>
      <w:r>
        <w:rPr>
          <w:rFonts w:eastAsia="等线" w:ascii="Arial" w:cs="Arial" w:hAnsi="Arial"/>
          <w:sz w:val="22"/>
        </w:rPr>
        <w:t>可连续长期在PCB量产车间环境稳定工作，耐粉尘、耐温湿度波动，抗设备共振干扰。</w:t>
      </w:r>
    </w:p>
    <w:p>
      <w:pPr>
        <w:pStyle w:val="2"/>
        <w:spacing w:before="320" w:after="120" w:line="288" w:lineRule="auto"/>
        <w:ind w:left="0"/>
        <w:jc w:val="left"/>
        <w:outlineLvl w:val="1"/>
      </w:pPr>
      <w:bookmarkStart w:name="heading_109" w:id="109"/>
      <w:r>
        <w:rPr>
          <w:rFonts w:eastAsia="等线" w:ascii="Arial" w:cs="Arial" w:hAnsi="Arial"/>
          <w:b w:val="true"/>
          <w:sz w:val="32"/>
        </w:rPr>
        <w:t>8 试验方法</w:t>
      </w:r>
      <w:bookmarkEnd w:id="109"/>
    </w:p>
    <w:p>
      <w:pPr>
        <w:spacing w:before="120" w:after="120" w:line="288" w:lineRule="auto"/>
        <w:ind w:left="0"/>
        <w:jc w:val="left"/>
      </w:pPr>
      <w:r>
        <w:rPr>
          <w:rFonts w:eastAsia="等线" w:ascii="Arial" w:cs="Arial" w:hAnsi="Arial"/>
          <w:sz w:val="22"/>
        </w:rPr>
        <w:t>8.1 回转精度测试：采用高精度千分表、激光动精度检测仪，分别测试静态、动态跳动。</w:t>
      </w:r>
    </w:p>
    <w:p>
      <w:pPr>
        <w:spacing w:before="120" w:after="120" w:line="288" w:lineRule="auto"/>
        <w:ind w:left="0"/>
        <w:jc w:val="left"/>
      </w:pPr>
      <w:r>
        <w:rPr>
          <w:rFonts w:eastAsia="等线" w:ascii="Arial" w:cs="Arial" w:hAnsi="Arial"/>
          <w:sz w:val="22"/>
        </w:rPr>
        <w:t>8.2 气膜刚度与承载特性测试：按照《气浮主轴气膜刚度与承载特性测试方法》执行。</w:t>
      </w:r>
    </w:p>
    <w:p>
      <w:pPr>
        <w:spacing w:before="120" w:after="120" w:line="288" w:lineRule="auto"/>
        <w:ind w:left="0"/>
        <w:jc w:val="left"/>
      </w:pPr>
      <w:r>
        <w:rPr>
          <w:rFonts w:eastAsia="等线" w:ascii="Arial" w:cs="Arial" w:hAnsi="Arial"/>
          <w:sz w:val="22"/>
        </w:rPr>
        <w:t>8.3 寿命与可靠性测试：按照《气浮主轴超高速寿命与可靠性测试方法》执行。</w:t>
      </w:r>
    </w:p>
    <w:p>
      <w:pPr>
        <w:spacing w:before="120" w:after="120" w:line="288" w:lineRule="auto"/>
        <w:ind w:left="0"/>
        <w:jc w:val="left"/>
      </w:pPr>
      <w:r>
        <w:rPr>
          <w:rFonts w:eastAsia="等线" w:ascii="Arial" w:cs="Arial" w:hAnsi="Arial"/>
          <w:sz w:val="22"/>
        </w:rPr>
        <w:t>8.4 振动、噪声、温升测试：按照JB/T 13826及GB/T 6075.3执行。</w:t>
      </w:r>
    </w:p>
    <w:p>
      <w:pPr>
        <w:spacing w:before="120" w:after="120" w:line="288" w:lineRule="auto"/>
        <w:ind w:left="0"/>
        <w:jc w:val="left"/>
      </w:pPr>
      <w:r>
        <w:rPr>
          <w:rFonts w:eastAsia="等线" w:ascii="Arial" w:cs="Arial" w:hAnsi="Arial"/>
          <w:sz w:val="22"/>
        </w:rPr>
        <w:t>8.5 气密性测试：保压10 min无压力衰减、无泄漏。</w:t>
      </w:r>
    </w:p>
    <w:p>
      <w:pPr>
        <w:spacing w:before="120" w:after="120" w:line="288" w:lineRule="auto"/>
        <w:ind w:left="0"/>
        <w:jc w:val="left"/>
      </w:pPr>
      <w:r>
        <w:rPr>
          <w:rFonts w:eastAsia="等线" w:ascii="Arial" w:cs="Arial" w:hAnsi="Arial"/>
          <w:sz w:val="22"/>
        </w:rPr>
        <w:t>8.6 电气性能测试：绝缘、耐压、转速精度、响应特性测试。</w:t>
      </w:r>
    </w:p>
    <w:p>
      <w:pPr>
        <w:spacing w:before="120" w:after="120" w:line="288" w:lineRule="auto"/>
        <w:ind w:left="0"/>
        <w:jc w:val="left"/>
      </w:pPr>
      <w:r>
        <w:rPr>
          <w:rFonts w:eastAsia="等线" w:ascii="Arial" w:cs="Arial" w:hAnsi="Arial"/>
          <w:sz w:val="22"/>
        </w:rPr>
        <w:t>8.7 工艺适配性测试：装机进行实际PCB板批量钻孔验证，考核孔精度、断刀率、稳定性。</w:t>
      </w:r>
    </w:p>
    <w:p>
      <w:pPr>
        <w:pStyle w:val="2"/>
        <w:spacing w:before="320" w:after="120" w:line="288" w:lineRule="auto"/>
        <w:ind w:left="0"/>
        <w:jc w:val="left"/>
        <w:outlineLvl w:val="1"/>
      </w:pPr>
      <w:bookmarkStart w:name="heading_110" w:id="110"/>
      <w:r>
        <w:rPr>
          <w:rFonts w:eastAsia="等线" w:ascii="Arial" w:cs="Arial" w:hAnsi="Arial"/>
          <w:b w:val="true"/>
          <w:sz w:val="32"/>
        </w:rPr>
        <w:t>9 检验规则</w:t>
      </w:r>
      <w:bookmarkEnd w:id="110"/>
    </w:p>
    <w:p>
      <w:pPr>
        <w:pStyle w:val="3"/>
        <w:spacing w:before="300" w:after="120" w:line="288" w:lineRule="auto"/>
        <w:ind w:left="0"/>
        <w:jc w:val="left"/>
        <w:outlineLvl w:val="2"/>
      </w:pPr>
      <w:bookmarkStart w:name="heading_111" w:id="111"/>
      <w:r>
        <w:rPr>
          <w:rFonts w:eastAsia="等线" w:ascii="Arial" w:cs="Arial" w:hAnsi="Arial"/>
          <w:b w:val="true"/>
          <w:sz w:val="30"/>
        </w:rPr>
        <w:t>9.1 检验分类</w:t>
      </w:r>
      <w:bookmarkEnd w:id="111"/>
    </w:p>
    <w:p>
      <w:pPr>
        <w:spacing w:before="120" w:after="120" w:line="288" w:lineRule="auto"/>
        <w:ind w:left="0"/>
        <w:jc w:val="left"/>
      </w:pPr>
      <w:r>
        <w:rPr>
          <w:rFonts w:eastAsia="等线" w:ascii="Arial" w:cs="Arial" w:hAnsi="Arial"/>
          <w:sz w:val="22"/>
        </w:rPr>
        <w:t>产品检验分为出厂检验和型式检验。</w:t>
      </w:r>
    </w:p>
    <w:p>
      <w:pPr>
        <w:pStyle w:val="3"/>
        <w:spacing w:before="300" w:after="120" w:line="288" w:lineRule="auto"/>
        <w:ind w:left="0"/>
        <w:jc w:val="left"/>
        <w:outlineLvl w:val="2"/>
      </w:pPr>
      <w:bookmarkStart w:name="heading_112" w:id="112"/>
      <w:r>
        <w:rPr>
          <w:rFonts w:eastAsia="等线" w:ascii="Arial" w:cs="Arial" w:hAnsi="Arial"/>
          <w:b w:val="true"/>
          <w:sz w:val="30"/>
        </w:rPr>
        <w:t>9.2 出厂检验</w:t>
      </w:r>
      <w:bookmarkEnd w:id="112"/>
    </w:p>
    <w:p>
      <w:pPr>
        <w:spacing w:before="120" w:after="120" w:line="288" w:lineRule="auto"/>
        <w:ind w:left="0"/>
        <w:jc w:val="left"/>
      </w:pPr>
      <w:r>
        <w:rPr>
          <w:rFonts w:eastAsia="等线" w:ascii="Arial" w:cs="Arial" w:hAnsi="Arial"/>
          <w:sz w:val="22"/>
        </w:rPr>
        <w:t>每台产品出厂必检，检验项目见附录B，全部合格后方可出厂。主要包含：外观、气密性、回转精度、空载温升、振动噪声、转速精度、保护功能测试。</w:t>
      </w:r>
    </w:p>
    <w:p>
      <w:pPr>
        <w:pStyle w:val="3"/>
        <w:spacing w:before="300" w:after="120" w:line="288" w:lineRule="auto"/>
        <w:ind w:left="0"/>
        <w:jc w:val="left"/>
        <w:outlineLvl w:val="2"/>
      </w:pPr>
      <w:bookmarkStart w:name="heading_113" w:id="113"/>
      <w:r>
        <w:rPr>
          <w:rFonts w:eastAsia="等线" w:ascii="Arial" w:cs="Arial" w:hAnsi="Arial"/>
          <w:b w:val="true"/>
          <w:sz w:val="30"/>
        </w:rPr>
        <w:t>9.3 型式检验</w:t>
      </w:r>
      <w:bookmarkEnd w:id="113"/>
    </w:p>
    <w:p>
      <w:pPr>
        <w:spacing w:before="120" w:after="120" w:line="288" w:lineRule="auto"/>
        <w:ind w:left="0"/>
        <w:jc w:val="left"/>
      </w:pPr>
      <w:r>
        <w:rPr>
          <w:rFonts w:eastAsia="等线" w:ascii="Arial" w:cs="Arial" w:hAnsi="Arial"/>
          <w:sz w:val="22"/>
        </w:rPr>
        <w:t>有下列情况之一时应进行型式检验：</w:t>
      </w:r>
    </w:p>
    <w:p>
      <w:pPr>
        <w:numPr>
          <w:numId w:val="59"/>
        </w:numPr>
        <w:spacing w:before="120" w:after="120" w:line="288" w:lineRule="auto"/>
        <w:ind w:left="0"/>
        <w:jc w:val="left"/>
      </w:pPr>
      <w:r>
        <w:rPr>
          <w:rFonts w:eastAsia="等线" w:ascii="Arial" w:cs="Arial" w:hAnsi="Arial"/>
          <w:sz w:val="22"/>
        </w:rPr>
        <w:t>新产品定型、结构重大更改、工艺重大调整；</w:t>
      </w:r>
    </w:p>
    <w:p>
      <w:pPr>
        <w:numPr>
          <w:numId w:val="60"/>
        </w:numPr>
        <w:spacing w:before="120" w:after="120" w:line="288" w:lineRule="auto"/>
        <w:ind w:left="0"/>
        <w:jc w:val="left"/>
      </w:pPr>
      <w:r>
        <w:rPr>
          <w:rFonts w:eastAsia="等线" w:ascii="Arial" w:cs="Arial" w:hAnsi="Arial"/>
          <w:sz w:val="22"/>
        </w:rPr>
        <w:t>批量生产满两年；</w:t>
      </w:r>
    </w:p>
    <w:p>
      <w:pPr>
        <w:numPr>
          <w:numId w:val="61"/>
        </w:numPr>
        <w:spacing w:before="120" w:after="120" w:line="288" w:lineRule="auto"/>
        <w:ind w:left="0"/>
        <w:jc w:val="left"/>
      </w:pPr>
      <w:r>
        <w:rPr>
          <w:rFonts w:eastAsia="等线" w:ascii="Arial" w:cs="Arial" w:hAnsi="Arial"/>
          <w:sz w:val="22"/>
        </w:rPr>
        <w:t>国家监管部门、行业机构提出型式检验要求；</w:t>
      </w:r>
    </w:p>
    <w:p>
      <w:pPr>
        <w:numPr>
          <w:numId w:val="62"/>
        </w:numPr>
        <w:spacing w:before="120" w:after="120" w:line="288" w:lineRule="auto"/>
        <w:ind w:left="0"/>
        <w:jc w:val="left"/>
      </w:pPr>
      <w:r>
        <w:rPr>
          <w:rFonts w:eastAsia="等线" w:ascii="Arial" w:cs="Arial" w:hAnsi="Arial"/>
          <w:sz w:val="22"/>
        </w:rPr>
        <w:t>产品出现批量性能异常、可靠性下滑。</w:t>
      </w:r>
    </w:p>
    <w:p>
      <w:pPr>
        <w:spacing w:before="120" w:after="120" w:line="288" w:lineRule="auto"/>
        <w:ind w:left="0"/>
        <w:jc w:val="left"/>
      </w:pPr>
      <w:r>
        <w:rPr>
          <w:rFonts w:eastAsia="等线" w:ascii="Arial" w:cs="Arial" w:hAnsi="Arial"/>
          <w:sz w:val="22"/>
        </w:rPr>
        <w:t>型式检验包含全部性能指标、寿命抽样、刚度承载特性、可靠性指标验证。</w:t>
      </w:r>
    </w:p>
    <w:p>
      <w:pPr>
        <w:pStyle w:val="3"/>
        <w:spacing w:before="300" w:after="120" w:line="288" w:lineRule="auto"/>
        <w:ind w:left="0"/>
        <w:jc w:val="left"/>
        <w:outlineLvl w:val="2"/>
      </w:pPr>
      <w:bookmarkStart w:name="heading_114" w:id="114"/>
      <w:r>
        <w:rPr>
          <w:rFonts w:eastAsia="等线" w:ascii="Arial" w:cs="Arial" w:hAnsi="Arial"/>
          <w:b w:val="true"/>
          <w:sz w:val="30"/>
        </w:rPr>
        <w:t>9.4 判定规则</w:t>
      </w:r>
      <w:bookmarkEnd w:id="114"/>
    </w:p>
    <w:p>
      <w:pPr>
        <w:spacing w:before="120" w:after="120" w:line="288" w:lineRule="auto"/>
        <w:ind w:left="0"/>
        <w:jc w:val="left"/>
      </w:pPr>
      <w:r>
        <w:rPr>
          <w:rFonts w:eastAsia="等线" w:ascii="Arial" w:cs="Arial" w:hAnsi="Arial"/>
          <w:sz w:val="22"/>
        </w:rPr>
        <w:t>检验项目全部合格判定产品合格；若出现单项不合格，允许复检一次，复检仍不合格判定产品不合格。</w:t>
      </w:r>
    </w:p>
    <w:p>
      <w:pPr>
        <w:pStyle w:val="2"/>
        <w:spacing w:before="320" w:after="120" w:line="288" w:lineRule="auto"/>
        <w:ind w:left="0"/>
        <w:jc w:val="left"/>
        <w:outlineLvl w:val="1"/>
      </w:pPr>
      <w:bookmarkStart w:name="heading_115" w:id="115"/>
      <w:r>
        <w:rPr>
          <w:rFonts w:eastAsia="等线" w:ascii="Arial" w:cs="Arial" w:hAnsi="Arial"/>
          <w:b w:val="true"/>
          <w:sz w:val="32"/>
        </w:rPr>
        <w:t>10 标志、包装、运输与贮存</w:t>
      </w:r>
      <w:bookmarkEnd w:id="115"/>
    </w:p>
    <w:p>
      <w:pPr>
        <w:pStyle w:val="3"/>
        <w:spacing w:before="300" w:after="120" w:line="288" w:lineRule="auto"/>
        <w:ind w:left="0"/>
        <w:jc w:val="left"/>
        <w:outlineLvl w:val="2"/>
      </w:pPr>
      <w:bookmarkStart w:name="heading_116" w:id="116"/>
      <w:r>
        <w:rPr>
          <w:rFonts w:eastAsia="等线" w:ascii="Arial" w:cs="Arial" w:hAnsi="Arial"/>
          <w:b w:val="true"/>
          <w:sz w:val="30"/>
        </w:rPr>
        <w:t>10.1 产品标志</w:t>
      </w:r>
      <w:bookmarkEnd w:id="116"/>
    </w:p>
    <w:p>
      <w:pPr>
        <w:spacing w:before="120" w:after="120" w:line="288" w:lineRule="auto"/>
        <w:ind w:left="0"/>
        <w:jc w:val="left"/>
      </w:pPr>
      <w:r>
        <w:rPr>
          <w:rFonts w:eastAsia="等线" w:ascii="Arial" w:cs="Arial" w:hAnsi="Arial"/>
          <w:sz w:val="22"/>
        </w:rPr>
        <w:t>主轴壳体永久性标识：产品型号、额定转速、额定气压、出厂编号、生产日期、制造商信息。</w:t>
      </w:r>
    </w:p>
    <w:p>
      <w:pPr>
        <w:pStyle w:val="3"/>
        <w:spacing w:before="300" w:after="120" w:line="288" w:lineRule="auto"/>
        <w:ind w:left="0"/>
        <w:jc w:val="left"/>
        <w:outlineLvl w:val="2"/>
      </w:pPr>
      <w:bookmarkStart w:name="heading_117" w:id="117"/>
      <w:r>
        <w:rPr>
          <w:rFonts w:eastAsia="等线" w:ascii="Arial" w:cs="Arial" w:hAnsi="Arial"/>
          <w:b w:val="true"/>
          <w:sz w:val="30"/>
        </w:rPr>
        <w:t>10.2 包装</w:t>
      </w:r>
      <w:bookmarkEnd w:id="117"/>
    </w:p>
    <w:p>
      <w:pPr>
        <w:spacing w:before="120" w:after="120" w:line="288" w:lineRule="auto"/>
        <w:ind w:left="0"/>
        <w:jc w:val="left"/>
      </w:pPr>
      <w:r>
        <w:rPr>
          <w:rFonts w:eastAsia="等线" w:ascii="Arial" w:cs="Arial" w:hAnsi="Arial"/>
          <w:sz w:val="22"/>
        </w:rPr>
        <w:t>采用防震、防潮、防尘专用包装，内置产品合格证、检测报告、使用说明书。</w:t>
      </w:r>
    </w:p>
    <w:p>
      <w:pPr>
        <w:pStyle w:val="3"/>
        <w:spacing w:before="300" w:after="120" w:line="288" w:lineRule="auto"/>
        <w:ind w:left="0"/>
        <w:jc w:val="left"/>
        <w:outlineLvl w:val="2"/>
      </w:pPr>
      <w:bookmarkStart w:name="heading_118" w:id="118"/>
      <w:r>
        <w:rPr>
          <w:rFonts w:eastAsia="等线" w:ascii="Arial" w:cs="Arial" w:hAnsi="Arial"/>
          <w:b w:val="true"/>
          <w:sz w:val="30"/>
        </w:rPr>
        <w:t>10.3 运输</w:t>
      </w:r>
      <w:bookmarkEnd w:id="118"/>
    </w:p>
    <w:p>
      <w:pPr>
        <w:spacing w:before="120" w:after="120" w:line="288" w:lineRule="auto"/>
        <w:ind w:left="0"/>
        <w:jc w:val="left"/>
      </w:pPr>
      <w:r>
        <w:rPr>
          <w:rFonts w:eastAsia="等线" w:ascii="Arial" w:cs="Arial" w:hAnsi="Arial"/>
          <w:sz w:val="22"/>
        </w:rPr>
        <w:t>运输过程防震、防倾倒、防撞击，禁止剧烈振动与挤压。</w:t>
      </w:r>
    </w:p>
    <w:p>
      <w:pPr>
        <w:pStyle w:val="3"/>
        <w:spacing w:before="300" w:after="120" w:line="288" w:lineRule="auto"/>
        <w:ind w:left="0"/>
        <w:jc w:val="left"/>
        <w:outlineLvl w:val="2"/>
      </w:pPr>
      <w:bookmarkStart w:name="heading_119" w:id="119"/>
      <w:r>
        <w:rPr>
          <w:rFonts w:eastAsia="等线" w:ascii="Arial" w:cs="Arial" w:hAnsi="Arial"/>
          <w:b w:val="true"/>
          <w:sz w:val="30"/>
        </w:rPr>
        <w:t>10.4 贮存</w:t>
      </w:r>
      <w:bookmarkEnd w:id="119"/>
    </w:p>
    <w:p>
      <w:pPr>
        <w:spacing w:before="120" w:after="120" w:line="288" w:lineRule="auto"/>
        <w:ind w:left="0"/>
        <w:jc w:val="left"/>
      </w:pPr>
      <w:r>
        <w:rPr>
          <w:rFonts w:eastAsia="等线" w:ascii="Arial" w:cs="Arial" w:hAnsi="Arial"/>
          <w:sz w:val="22"/>
        </w:rPr>
        <w:t>产品贮存于干燥、通风、无尘库房，长期贮存需定期通气保养、精度复检。</w:t>
      </w:r>
    </w:p>
    <w:p>
      <w:pPr>
        <w:pStyle w:val="2"/>
        <w:spacing w:before="320" w:after="120" w:line="288" w:lineRule="auto"/>
        <w:ind w:left="0"/>
        <w:jc w:val="left"/>
        <w:outlineLvl w:val="1"/>
      </w:pPr>
      <w:bookmarkStart w:name="heading_120" w:id="120"/>
      <w:r>
        <w:rPr>
          <w:rFonts w:eastAsia="等线" w:ascii="Arial" w:cs="Arial" w:hAnsi="Arial"/>
          <w:b w:val="true"/>
          <w:sz w:val="32"/>
        </w:rPr>
        <w:t>附录A（规范性附录）PCB气浮电主轴额定参数优选系列</w:t>
      </w:r>
      <w:bookmarkEnd w:id="120"/>
    </w:p>
    <w:p>
      <w:pPr>
        <w:spacing w:before="120" w:after="120" w:line="288" w:lineRule="auto"/>
        <w:ind w:left="0"/>
        <w:jc w:val="left"/>
      </w:pPr>
      <w:r>
        <w:rPr>
          <w:rFonts w:eastAsia="等线" w:ascii="Arial" w:cs="Arial" w:hAnsi="Arial"/>
          <w:sz w:val="22"/>
        </w:rPr>
        <w:t>A.1 高速型（60000～80000 r/min）：适用常规PCB大、中孔径钻孔，批量量产板加工；特点为稳定性高、寿命长、承载力适中。</w:t>
      </w:r>
    </w:p>
    <w:p>
      <w:pPr>
        <w:spacing w:before="120" w:after="120" w:line="288" w:lineRule="auto"/>
        <w:ind w:left="0"/>
        <w:jc w:val="left"/>
      </w:pPr>
      <w:r>
        <w:rPr>
          <w:rFonts w:eastAsia="等线" w:ascii="Arial" w:cs="Arial" w:hAnsi="Arial"/>
          <w:sz w:val="22"/>
        </w:rPr>
        <w:t>A.2 超高速型（80000～120000 r/min）：适用小孔径、高密度线路板、细孔批量钻孔。</w:t>
      </w:r>
    </w:p>
    <w:p>
      <w:pPr>
        <w:spacing w:before="120" w:after="120" w:line="288" w:lineRule="auto"/>
        <w:ind w:left="0"/>
        <w:jc w:val="left"/>
      </w:pPr>
      <w:r>
        <w:rPr>
          <w:rFonts w:eastAsia="等线" w:ascii="Arial" w:cs="Arial" w:hAnsi="Arial"/>
          <w:sz w:val="22"/>
        </w:rPr>
        <w:t>A.3 超高精密型（＞120000 r/min）：适用微孔、超微孔、高阶精密PCB板、IC载板钻孔。</w:t>
      </w:r>
    </w:p>
    <w:p>
      <w:pPr>
        <w:spacing w:before="120" w:after="120" w:line="288" w:lineRule="auto"/>
        <w:ind w:left="0"/>
        <w:jc w:val="left"/>
      </w:pPr>
      <w:r>
        <w:rPr>
          <w:rFonts w:eastAsia="等线" w:ascii="Arial" w:cs="Arial" w:hAnsi="Arial"/>
          <w:sz w:val="22"/>
        </w:rPr>
        <w:t>优选供气压力：0.35 MPa～0.55 MPa。</w:t>
      </w:r>
    </w:p>
    <w:p>
      <w:pPr>
        <w:spacing w:before="120" w:after="120" w:line="288" w:lineRule="auto"/>
        <w:ind w:left="0"/>
        <w:jc w:val="left"/>
      </w:pPr>
      <w:r>
        <w:rPr>
          <w:rFonts w:eastAsia="等线" w:ascii="Arial" w:cs="Arial" w:hAnsi="Arial"/>
          <w:sz w:val="22"/>
        </w:rPr>
        <w:t>优选冷却方式：量产机型优先水冷，精密微型机型可选气冷。</w:t>
      </w:r>
    </w:p>
    <w:p>
      <w:pPr>
        <w:pStyle w:val="2"/>
        <w:spacing w:before="320" w:after="120" w:line="288" w:lineRule="auto"/>
        <w:ind w:left="0"/>
        <w:jc w:val="left"/>
        <w:outlineLvl w:val="1"/>
      </w:pPr>
      <w:bookmarkStart w:name="heading_121" w:id="121"/>
      <w:r>
        <w:rPr>
          <w:rFonts w:eastAsia="等线" w:ascii="Arial" w:cs="Arial" w:hAnsi="Arial"/>
          <w:b w:val="true"/>
          <w:sz w:val="32"/>
        </w:rPr>
        <w:t>附录B（资料性附录）产品出厂检验项目清单</w:t>
      </w:r>
      <w:bookmarkEnd w:id="121"/>
    </w:p>
    <w:p>
      <w:pPr>
        <w:numPr>
          <w:numId w:val="63"/>
        </w:numPr>
        <w:spacing w:before="120" w:after="120" w:line="288" w:lineRule="auto"/>
        <w:ind w:left="0"/>
        <w:jc w:val="left"/>
      </w:pPr>
      <w:r>
        <w:rPr>
          <w:rFonts w:eastAsia="等线" w:ascii="Arial" w:cs="Arial" w:hAnsi="Arial"/>
          <w:sz w:val="22"/>
        </w:rPr>
        <w:t>外观质量检查</w:t>
      </w:r>
    </w:p>
    <w:p>
      <w:pPr>
        <w:numPr>
          <w:numId w:val="64"/>
        </w:numPr>
        <w:spacing w:before="120" w:after="120" w:line="288" w:lineRule="auto"/>
        <w:ind w:left="0"/>
        <w:jc w:val="left"/>
      </w:pPr>
      <w:r>
        <w:rPr>
          <w:rFonts w:eastAsia="等线" w:ascii="Arial" w:cs="Arial" w:hAnsi="Arial"/>
          <w:sz w:val="22"/>
        </w:rPr>
        <w:t>气密性保压试验</w:t>
      </w:r>
    </w:p>
    <w:p>
      <w:pPr>
        <w:numPr>
          <w:numId w:val="65"/>
        </w:numPr>
        <w:spacing w:before="120" w:after="120" w:line="288" w:lineRule="auto"/>
        <w:ind w:left="0"/>
        <w:jc w:val="left"/>
      </w:pPr>
      <w:r>
        <w:rPr>
          <w:rFonts w:eastAsia="等线" w:ascii="Arial" w:cs="Arial" w:hAnsi="Arial"/>
          <w:sz w:val="22"/>
        </w:rPr>
        <w:t>静态、动态回转精度检测</w:t>
      </w:r>
    </w:p>
    <w:p>
      <w:pPr>
        <w:numPr>
          <w:numId w:val="66"/>
        </w:numPr>
        <w:spacing w:before="120" w:after="120" w:line="288" w:lineRule="auto"/>
        <w:ind w:left="0"/>
        <w:jc w:val="left"/>
      </w:pPr>
      <w:r>
        <w:rPr>
          <w:rFonts w:eastAsia="等线" w:ascii="Arial" w:cs="Arial" w:hAnsi="Arial"/>
          <w:sz w:val="22"/>
        </w:rPr>
        <w:t>空载转速精度测试</w:t>
      </w:r>
    </w:p>
    <w:p>
      <w:pPr>
        <w:numPr>
          <w:numId w:val="67"/>
        </w:numPr>
        <w:spacing w:before="120" w:after="120" w:line="288" w:lineRule="auto"/>
        <w:ind w:left="0"/>
        <w:jc w:val="left"/>
      </w:pPr>
      <w:r>
        <w:rPr>
          <w:rFonts w:eastAsia="等线" w:ascii="Arial" w:cs="Arial" w:hAnsi="Arial"/>
          <w:sz w:val="22"/>
        </w:rPr>
        <w:t>稳态温升测试</w:t>
      </w:r>
    </w:p>
    <w:p>
      <w:pPr>
        <w:numPr>
          <w:numId w:val="68"/>
        </w:numPr>
        <w:spacing w:before="120" w:after="120" w:line="288" w:lineRule="auto"/>
        <w:ind w:left="0"/>
        <w:jc w:val="left"/>
      </w:pPr>
      <w:r>
        <w:rPr>
          <w:rFonts w:eastAsia="等线" w:ascii="Arial" w:cs="Arial" w:hAnsi="Arial"/>
          <w:sz w:val="22"/>
        </w:rPr>
        <w:t>振动、噪声检测</w:t>
      </w:r>
    </w:p>
    <w:p>
      <w:pPr>
        <w:numPr>
          <w:numId w:val="69"/>
        </w:numPr>
        <w:spacing w:before="120" w:after="120" w:line="288" w:lineRule="auto"/>
        <w:ind w:left="0"/>
        <w:jc w:val="left"/>
      </w:pPr>
      <w:r>
        <w:rPr>
          <w:rFonts w:eastAsia="等线" w:ascii="Arial" w:cs="Arial" w:hAnsi="Arial"/>
          <w:sz w:val="22"/>
        </w:rPr>
        <w:t>电气绝缘与耐压测试</w:t>
      </w:r>
    </w:p>
    <w:p>
      <w:pPr>
        <w:numPr>
          <w:numId w:val="70"/>
        </w:numPr>
        <w:spacing w:before="120" w:after="120" w:line="288" w:lineRule="auto"/>
        <w:ind w:left="0"/>
        <w:jc w:val="left"/>
      </w:pPr>
      <w:r>
        <w:rPr>
          <w:rFonts w:eastAsia="等线" w:ascii="Arial" w:cs="Arial" w:hAnsi="Arial"/>
          <w:sz w:val="22"/>
        </w:rPr>
        <w:t>气压保护、超温保护、超速保护功能测试</w:t>
      </w:r>
    </w:p>
    <w:p>
      <w:pPr>
        <w:numPr>
          <w:numId w:val="71"/>
        </w:numPr>
        <w:spacing w:before="120" w:after="120" w:line="288" w:lineRule="auto"/>
        <w:ind w:left="0"/>
        <w:jc w:val="left"/>
      </w:pPr>
      <w:r>
        <w:rPr>
          <w:rFonts w:eastAsia="等线" w:ascii="Arial" w:cs="Arial" w:hAnsi="Arial"/>
          <w:sz w:val="22"/>
        </w:rPr>
        <w:t>基础气膜悬浮稳定性测试</w:t>
      </w:r>
    </w:p>
    <w:p>
      <w:pPr>
        <w:numPr>
          <w:numId w:val="72"/>
        </w:numPr>
        <w:spacing w:before="120" w:after="120" w:line="288" w:lineRule="auto"/>
        <w:ind w:left="0"/>
        <w:jc w:val="left"/>
      </w:pPr>
      <w:r>
        <w:rPr>
          <w:rFonts w:eastAsia="等线" w:ascii="Arial" w:cs="Arial" w:hAnsi="Arial"/>
          <w:sz w:val="22"/>
        </w:rPr>
        <w:t>整机启停运行稳定性测试</w:t>
      </w:r>
    </w:p>
    <w:p>
      <w:pPr>
        <w:spacing w:before="120" w:after="120" w:line="288" w:lineRule="auto"/>
        <w:ind w:left="0"/>
        <w:jc w:val="left"/>
      </w:pPr>
      <w:r>
        <w:rPr>
          <w:rFonts w:eastAsia="等线" w:ascii="Arial" w:cs="Arial" w:hAnsi="Arial"/>
          <w:sz w:val="22"/>
        </w:rPr>
        <w:t>|（注：部分内容由豆包工作 AI 生成）</w:t>
      </w:r>
    </w:p>
    <w:sectPr>
      <w:footerReference w:type="default" r:id="rId3"/>
      <w:headerReference w:type="default" r:id="rId5"/>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w:p/>
</w:hdr>
</file>

<file path=word/numbering.xml><?xml version="1.0" encoding="utf-8"?>
<w:numbering xmlns:w="http://schemas.openxmlformats.org/wordprocessingml/2006/main">
  <w:abstractNum w:abstractNumId="1277402">
    <w:lvl>
      <w:start w:val="1"/>
      <w:numFmt w:val="decimal"/>
      <w:suff w:val="tab"/>
      <w:lvlText w:val="%1."/>
      <w:rPr>
        <w:color w:val="3370ff"/>
      </w:rPr>
    </w:lvl>
  </w:abstractNum>
  <w:abstractNum w:abstractNumId="1277403">
    <w:lvl>
      <w:start w:val="2"/>
      <w:numFmt w:val="decimal"/>
      <w:suff w:val="tab"/>
      <w:lvlText w:val="%1."/>
      <w:rPr>
        <w:color w:val="3370ff"/>
      </w:rPr>
    </w:lvl>
  </w:abstractNum>
  <w:abstractNum w:abstractNumId="1277404">
    <w:lvl>
      <w:start w:val="3"/>
      <w:numFmt w:val="decimal"/>
      <w:suff w:val="tab"/>
      <w:lvlText w:val="%1."/>
      <w:rPr>
        <w:color w:val="3370ff"/>
      </w:rPr>
    </w:lvl>
  </w:abstractNum>
  <w:abstractNum w:abstractNumId="1277405">
    <w:lvl>
      <w:numFmt w:val="bullet"/>
      <w:suff w:val="tab"/>
      <w:lvlText w:val="•"/>
      <w:rPr>
        <w:color w:val="3370ff"/>
      </w:rPr>
    </w:lvl>
  </w:abstractNum>
  <w:abstractNum w:abstractNumId="1277406">
    <w:lvl>
      <w:numFmt w:val="bullet"/>
      <w:suff w:val="tab"/>
      <w:lvlText w:val="•"/>
      <w:rPr>
        <w:color w:val="3370ff"/>
      </w:rPr>
    </w:lvl>
  </w:abstractNum>
  <w:abstractNum w:abstractNumId="1277407">
    <w:lvl>
      <w:numFmt w:val="bullet"/>
      <w:suff w:val="tab"/>
      <w:lvlText w:val="•"/>
      <w:rPr>
        <w:color w:val="3370ff"/>
      </w:rPr>
    </w:lvl>
  </w:abstractNum>
  <w:abstractNum w:abstractNumId="1277408">
    <w:lvl>
      <w:numFmt w:val="bullet"/>
      <w:suff w:val="tab"/>
      <w:lvlText w:val="•"/>
      <w:rPr>
        <w:color w:val="3370ff"/>
      </w:rPr>
    </w:lvl>
  </w:abstractNum>
  <w:abstractNum w:abstractNumId="1277409">
    <w:lvl>
      <w:numFmt w:val="bullet"/>
      <w:suff w:val="tab"/>
      <w:lvlText w:val="•"/>
      <w:rPr>
        <w:color w:val="3370ff"/>
      </w:rPr>
    </w:lvl>
  </w:abstractNum>
  <w:abstractNum w:abstractNumId="1277410">
    <w:lvl>
      <w:numFmt w:val="bullet"/>
      <w:suff w:val="tab"/>
      <w:lvlText w:val="•"/>
      <w:rPr>
        <w:color w:val="3370ff"/>
      </w:rPr>
    </w:lvl>
  </w:abstractNum>
  <w:abstractNum w:abstractNumId="1277411">
    <w:lvl>
      <w:numFmt w:val="bullet"/>
      <w:suff w:val="tab"/>
      <w:lvlText w:val="•"/>
      <w:rPr>
        <w:color w:val="3370ff"/>
      </w:rPr>
    </w:lvl>
  </w:abstractNum>
  <w:abstractNum w:abstractNumId="1277412">
    <w:lvl>
      <w:numFmt w:val="bullet"/>
      <w:suff w:val="tab"/>
      <w:lvlText w:val="•"/>
      <w:rPr>
        <w:color w:val="3370ff"/>
      </w:rPr>
    </w:lvl>
  </w:abstractNum>
  <w:abstractNum w:abstractNumId="1277413">
    <w:lvl>
      <w:numFmt w:val="bullet"/>
      <w:suff w:val="tab"/>
      <w:lvlText w:val="•"/>
      <w:rPr>
        <w:color w:val="3370ff"/>
      </w:rPr>
    </w:lvl>
  </w:abstractNum>
  <w:abstractNum w:abstractNumId="1277414">
    <w:lvl>
      <w:numFmt w:val="bullet"/>
      <w:suff w:val="tab"/>
      <w:lvlText w:val="•"/>
      <w:rPr>
        <w:color w:val="3370ff"/>
      </w:rPr>
    </w:lvl>
  </w:abstractNum>
  <w:abstractNum w:abstractNumId="1277415">
    <w:lvl>
      <w:numFmt w:val="bullet"/>
      <w:suff w:val="tab"/>
      <w:lvlText w:val="•"/>
      <w:rPr>
        <w:color w:val="3370ff"/>
      </w:rPr>
    </w:lvl>
  </w:abstractNum>
  <w:abstractNum w:abstractNumId="1277416">
    <w:lvl>
      <w:numFmt w:val="bullet"/>
      <w:suff w:val="tab"/>
      <w:lvlText w:val="•"/>
      <w:rPr>
        <w:color w:val="3370ff"/>
      </w:rPr>
    </w:lvl>
  </w:abstractNum>
  <w:abstractNum w:abstractNumId="1277417">
    <w:lvl>
      <w:numFmt w:val="bullet"/>
      <w:suff w:val="tab"/>
      <w:lvlText w:val="•"/>
      <w:rPr>
        <w:color w:val="3370ff"/>
      </w:rPr>
    </w:lvl>
  </w:abstractNum>
  <w:abstractNum w:abstractNumId="1277418">
    <w:lvl>
      <w:numFmt w:val="bullet"/>
      <w:suff w:val="tab"/>
      <w:lvlText w:val="•"/>
      <w:rPr>
        <w:color w:val="3370ff"/>
      </w:rPr>
    </w:lvl>
  </w:abstractNum>
  <w:abstractNum w:abstractNumId="1277419">
    <w:lvl>
      <w:numFmt w:val="bullet"/>
      <w:suff w:val="tab"/>
      <w:lvlText w:val="•"/>
      <w:rPr>
        <w:color w:val="3370ff"/>
      </w:rPr>
    </w:lvl>
  </w:abstractNum>
  <w:abstractNum w:abstractNumId="1277420">
    <w:lvl>
      <w:numFmt w:val="bullet"/>
      <w:suff w:val="tab"/>
      <w:lvlText w:val="•"/>
      <w:rPr>
        <w:color w:val="3370ff"/>
      </w:rPr>
    </w:lvl>
  </w:abstractNum>
  <w:abstractNum w:abstractNumId="1277421">
    <w:lvl>
      <w:numFmt w:val="bullet"/>
      <w:suff w:val="tab"/>
      <w:lvlText w:val="•"/>
      <w:rPr>
        <w:color w:val="3370ff"/>
      </w:rPr>
    </w:lvl>
  </w:abstractNum>
  <w:abstractNum w:abstractNumId="1277422">
    <w:lvl>
      <w:numFmt w:val="bullet"/>
      <w:suff w:val="tab"/>
      <w:lvlText w:val="•"/>
      <w:rPr>
        <w:color w:val="3370ff"/>
      </w:rPr>
    </w:lvl>
  </w:abstractNum>
  <w:abstractNum w:abstractNumId="1277423">
    <w:lvl>
      <w:numFmt w:val="bullet"/>
      <w:suff w:val="tab"/>
      <w:lvlText w:val="•"/>
      <w:rPr>
        <w:color w:val="3370ff"/>
      </w:rPr>
    </w:lvl>
  </w:abstractNum>
  <w:abstractNum w:abstractNumId="1277424">
    <w:lvl>
      <w:numFmt w:val="bullet"/>
      <w:suff w:val="tab"/>
      <w:lvlText w:val="•"/>
      <w:rPr>
        <w:color w:val="3370ff"/>
      </w:rPr>
    </w:lvl>
  </w:abstractNum>
  <w:abstractNum w:abstractNumId="1277425">
    <w:lvl>
      <w:numFmt w:val="bullet"/>
      <w:suff w:val="tab"/>
      <w:lvlText w:val="•"/>
      <w:rPr>
        <w:color w:val="3370ff"/>
      </w:rPr>
    </w:lvl>
  </w:abstractNum>
  <w:abstractNum w:abstractNumId="1277426">
    <w:lvl>
      <w:numFmt w:val="bullet"/>
      <w:suff w:val="tab"/>
      <w:lvlText w:val="•"/>
      <w:rPr>
        <w:color w:val="3370ff"/>
      </w:rPr>
    </w:lvl>
  </w:abstractNum>
  <w:abstractNum w:abstractNumId="1277427">
    <w:lvl>
      <w:numFmt w:val="bullet"/>
      <w:suff w:val="tab"/>
      <w:lvlText w:val="•"/>
      <w:rPr>
        <w:color w:val="3370ff"/>
      </w:rPr>
    </w:lvl>
  </w:abstractNum>
  <w:abstractNum w:abstractNumId="1277428">
    <w:lvl>
      <w:numFmt w:val="bullet"/>
      <w:suff w:val="tab"/>
      <w:lvlText w:val="•"/>
      <w:rPr>
        <w:color w:val="3370ff"/>
      </w:rPr>
    </w:lvl>
  </w:abstractNum>
  <w:abstractNum w:abstractNumId="1277429">
    <w:lvl>
      <w:numFmt w:val="bullet"/>
      <w:suff w:val="tab"/>
      <w:lvlText w:val="•"/>
      <w:rPr>
        <w:color w:val="3370ff"/>
      </w:rPr>
    </w:lvl>
  </w:abstractNum>
  <w:abstractNum w:abstractNumId="1277430">
    <w:lvl>
      <w:numFmt w:val="bullet"/>
      <w:suff w:val="tab"/>
      <w:lvlText w:val="•"/>
      <w:rPr>
        <w:color w:val="3370ff"/>
      </w:rPr>
    </w:lvl>
  </w:abstractNum>
  <w:abstractNum w:abstractNumId="1277431">
    <w:lvl>
      <w:numFmt w:val="bullet"/>
      <w:suff w:val="tab"/>
      <w:lvlText w:val="•"/>
      <w:rPr>
        <w:color w:val="3370ff"/>
      </w:rPr>
    </w:lvl>
  </w:abstractNum>
  <w:abstractNum w:abstractNumId="1277432">
    <w:lvl>
      <w:numFmt w:val="bullet"/>
      <w:suff w:val="tab"/>
      <w:lvlText w:val="•"/>
      <w:rPr>
        <w:color w:val="3370ff"/>
      </w:rPr>
    </w:lvl>
  </w:abstractNum>
  <w:abstractNum w:abstractNumId="1277433">
    <w:lvl>
      <w:numFmt w:val="bullet"/>
      <w:suff w:val="tab"/>
      <w:lvlText w:val="•"/>
      <w:rPr>
        <w:color w:val="3370ff"/>
      </w:rPr>
    </w:lvl>
  </w:abstractNum>
  <w:abstractNum w:abstractNumId="1277434">
    <w:lvl>
      <w:numFmt w:val="bullet"/>
      <w:suff w:val="tab"/>
      <w:lvlText w:val="•"/>
      <w:rPr>
        <w:color w:val="3370ff"/>
      </w:rPr>
    </w:lvl>
  </w:abstractNum>
  <w:abstractNum w:abstractNumId="1277435">
    <w:lvl>
      <w:numFmt w:val="bullet"/>
      <w:suff w:val="tab"/>
      <w:lvlText w:val="•"/>
      <w:rPr>
        <w:color w:val="3370ff"/>
      </w:rPr>
    </w:lvl>
  </w:abstractNum>
  <w:abstractNum w:abstractNumId="1277436">
    <w:lvl>
      <w:numFmt w:val="bullet"/>
      <w:suff w:val="tab"/>
      <w:lvlText w:val="•"/>
      <w:rPr>
        <w:color w:val="3370ff"/>
      </w:rPr>
    </w:lvl>
  </w:abstractNum>
  <w:abstractNum w:abstractNumId="1277437">
    <w:lvl>
      <w:numFmt w:val="bullet"/>
      <w:suff w:val="tab"/>
      <w:lvlText w:val="•"/>
      <w:rPr>
        <w:color w:val="3370ff"/>
      </w:rPr>
    </w:lvl>
  </w:abstractNum>
  <w:abstractNum w:abstractNumId="1277438">
    <w:lvl>
      <w:numFmt w:val="bullet"/>
      <w:suff w:val="tab"/>
      <w:lvlText w:val="•"/>
      <w:rPr>
        <w:color w:val="3370ff"/>
      </w:rPr>
    </w:lvl>
  </w:abstractNum>
  <w:abstractNum w:abstractNumId="1277439">
    <w:lvl>
      <w:numFmt w:val="bullet"/>
      <w:suff w:val="tab"/>
      <w:lvlText w:val="•"/>
      <w:rPr>
        <w:color w:val="3370ff"/>
      </w:rPr>
    </w:lvl>
  </w:abstractNum>
  <w:abstractNum w:abstractNumId="1277440">
    <w:lvl>
      <w:numFmt w:val="bullet"/>
      <w:suff w:val="tab"/>
      <w:lvlText w:val="•"/>
      <w:rPr>
        <w:color w:val="3370ff"/>
      </w:rPr>
    </w:lvl>
  </w:abstractNum>
  <w:abstractNum w:abstractNumId="1277441">
    <w:lvl>
      <w:numFmt w:val="bullet"/>
      <w:suff w:val="tab"/>
      <w:lvlText w:val="•"/>
      <w:rPr>
        <w:color w:val="3370ff"/>
      </w:rPr>
    </w:lvl>
  </w:abstractNum>
  <w:abstractNum w:abstractNumId="1277442">
    <w:lvl>
      <w:numFmt w:val="bullet"/>
      <w:suff w:val="tab"/>
      <w:lvlText w:val="•"/>
      <w:rPr>
        <w:color w:val="3370ff"/>
      </w:rPr>
    </w:lvl>
  </w:abstractNum>
  <w:abstractNum w:abstractNumId="1277443">
    <w:lvl>
      <w:numFmt w:val="bullet"/>
      <w:suff w:val="tab"/>
      <w:lvlText w:val="•"/>
      <w:rPr>
        <w:color w:val="3370ff"/>
      </w:rPr>
    </w:lvl>
  </w:abstractNum>
  <w:abstractNum w:abstractNumId="1277444">
    <w:lvl>
      <w:numFmt w:val="bullet"/>
      <w:suff w:val="tab"/>
      <w:lvlText w:val="•"/>
      <w:rPr>
        <w:color w:val="3370ff"/>
      </w:rPr>
    </w:lvl>
  </w:abstractNum>
  <w:abstractNum w:abstractNumId="1277445">
    <w:lvl>
      <w:numFmt w:val="bullet"/>
      <w:suff w:val="tab"/>
      <w:lvlText w:val="•"/>
      <w:rPr>
        <w:color w:val="3370ff"/>
      </w:rPr>
    </w:lvl>
  </w:abstractNum>
  <w:abstractNum w:abstractNumId="1277446">
    <w:lvl>
      <w:numFmt w:val="bullet"/>
      <w:suff w:val="tab"/>
      <w:lvlText w:val="•"/>
      <w:rPr>
        <w:color w:val="3370ff"/>
      </w:rPr>
    </w:lvl>
  </w:abstractNum>
  <w:abstractNum w:abstractNumId="1277447">
    <w:lvl>
      <w:numFmt w:val="bullet"/>
      <w:suff w:val="tab"/>
      <w:lvlText w:val="•"/>
      <w:rPr>
        <w:color w:val="3370ff"/>
      </w:rPr>
    </w:lvl>
  </w:abstractNum>
  <w:abstractNum w:abstractNumId="1277448">
    <w:lvl>
      <w:numFmt w:val="bullet"/>
      <w:suff w:val="tab"/>
      <w:lvlText w:val="•"/>
      <w:rPr>
        <w:color w:val="3370ff"/>
      </w:rPr>
    </w:lvl>
  </w:abstractNum>
  <w:abstractNum w:abstractNumId="1277449">
    <w:lvl>
      <w:numFmt w:val="bullet"/>
      <w:suff w:val="tab"/>
      <w:lvlText w:val="•"/>
      <w:rPr>
        <w:color w:val="3370ff"/>
      </w:rPr>
    </w:lvl>
  </w:abstractNum>
  <w:abstractNum w:abstractNumId="1277450">
    <w:lvl>
      <w:numFmt w:val="bullet"/>
      <w:suff w:val="tab"/>
      <w:lvlText w:val="•"/>
      <w:rPr>
        <w:color w:val="3370ff"/>
      </w:rPr>
    </w:lvl>
  </w:abstractNum>
  <w:abstractNum w:abstractNumId="1277451">
    <w:lvl>
      <w:numFmt w:val="bullet"/>
      <w:suff w:val="tab"/>
      <w:lvlText w:val="•"/>
      <w:rPr>
        <w:color w:val="3370ff"/>
      </w:rPr>
    </w:lvl>
  </w:abstractNum>
  <w:abstractNum w:abstractNumId="1277452">
    <w:lvl>
      <w:numFmt w:val="bullet"/>
      <w:suff w:val="tab"/>
      <w:lvlText w:val="•"/>
      <w:rPr>
        <w:color w:val="3370ff"/>
      </w:rPr>
    </w:lvl>
  </w:abstractNum>
  <w:abstractNum w:abstractNumId="1277453">
    <w:lvl>
      <w:numFmt w:val="bullet"/>
      <w:suff w:val="tab"/>
      <w:lvlText w:val="•"/>
      <w:rPr>
        <w:color w:val="3370ff"/>
      </w:rPr>
    </w:lvl>
  </w:abstractNum>
  <w:abstractNum w:abstractNumId="1277454">
    <w:lvl>
      <w:numFmt w:val="bullet"/>
      <w:suff w:val="tab"/>
      <w:lvlText w:val="•"/>
      <w:rPr>
        <w:color w:val="3370ff"/>
      </w:rPr>
    </w:lvl>
  </w:abstractNum>
  <w:abstractNum w:abstractNumId="1277455">
    <w:lvl>
      <w:numFmt w:val="bullet"/>
      <w:suff w:val="tab"/>
      <w:lvlText w:val="•"/>
      <w:rPr>
        <w:color w:val="3370ff"/>
      </w:rPr>
    </w:lvl>
  </w:abstractNum>
  <w:abstractNum w:abstractNumId="1277456">
    <w:lvl>
      <w:numFmt w:val="bullet"/>
      <w:suff w:val="tab"/>
      <w:lvlText w:val="•"/>
      <w:rPr>
        <w:color w:val="3370ff"/>
      </w:rPr>
    </w:lvl>
  </w:abstractNum>
  <w:abstractNum w:abstractNumId="1277457">
    <w:lvl>
      <w:numFmt w:val="bullet"/>
      <w:suff w:val="tab"/>
      <w:lvlText w:val="•"/>
      <w:rPr>
        <w:color w:val="3370ff"/>
      </w:rPr>
    </w:lvl>
  </w:abstractNum>
  <w:abstractNum w:abstractNumId="1277458">
    <w:lvl>
      <w:numFmt w:val="bullet"/>
      <w:suff w:val="tab"/>
      <w:lvlText w:val="•"/>
      <w:rPr>
        <w:color w:val="3370ff"/>
      </w:rPr>
    </w:lvl>
  </w:abstractNum>
  <w:abstractNum w:abstractNumId="1277459">
    <w:lvl>
      <w:numFmt w:val="bullet"/>
      <w:suff w:val="tab"/>
      <w:lvlText w:val="•"/>
      <w:rPr>
        <w:color w:val="3370ff"/>
      </w:rPr>
    </w:lvl>
  </w:abstractNum>
  <w:abstractNum w:abstractNumId="1277460">
    <w:lvl>
      <w:numFmt w:val="bullet"/>
      <w:suff w:val="tab"/>
      <w:lvlText w:val="•"/>
      <w:rPr>
        <w:color w:val="3370ff"/>
      </w:rPr>
    </w:lvl>
  </w:abstractNum>
  <w:abstractNum w:abstractNumId="1277461">
    <w:lvl>
      <w:numFmt w:val="bullet"/>
      <w:suff w:val="tab"/>
      <w:lvlText w:val="•"/>
      <w:rPr>
        <w:color w:val="3370ff"/>
      </w:rPr>
    </w:lvl>
  </w:abstractNum>
  <w:abstractNum w:abstractNumId="1277462">
    <w:lvl>
      <w:numFmt w:val="bullet"/>
      <w:suff w:val="tab"/>
      <w:lvlText w:val="•"/>
      <w:rPr>
        <w:color w:val="3370ff"/>
      </w:rPr>
    </w:lvl>
  </w:abstractNum>
  <w:abstractNum w:abstractNumId="1277463">
    <w:lvl>
      <w:numFmt w:val="bullet"/>
      <w:suff w:val="tab"/>
      <w:lvlText w:val="•"/>
      <w:rPr>
        <w:color w:val="3370ff"/>
      </w:rPr>
    </w:lvl>
  </w:abstractNum>
  <w:abstractNum w:abstractNumId="1277464">
    <w:lvl>
      <w:start w:val="1"/>
      <w:numFmt w:val="decimal"/>
      <w:suff w:val="tab"/>
      <w:lvlText w:val="%1."/>
      <w:rPr>
        <w:color w:val="3370ff"/>
      </w:rPr>
    </w:lvl>
  </w:abstractNum>
  <w:abstractNum w:abstractNumId="1277465">
    <w:lvl>
      <w:start w:val="2"/>
      <w:numFmt w:val="decimal"/>
      <w:suff w:val="tab"/>
      <w:lvlText w:val="%1."/>
      <w:rPr>
        <w:color w:val="3370ff"/>
      </w:rPr>
    </w:lvl>
  </w:abstractNum>
  <w:abstractNum w:abstractNumId="1277466">
    <w:lvl>
      <w:start w:val="3"/>
      <w:numFmt w:val="decimal"/>
      <w:suff w:val="tab"/>
      <w:lvlText w:val="%1."/>
      <w:rPr>
        <w:color w:val="3370ff"/>
      </w:rPr>
    </w:lvl>
  </w:abstractNum>
  <w:abstractNum w:abstractNumId="1277467">
    <w:lvl>
      <w:start w:val="4"/>
      <w:numFmt w:val="decimal"/>
      <w:suff w:val="tab"/>
      <w:lvlText w:val="%1."/>
      <w:rPr>
        <w:color w:val="3370ff"/>
      </w:rPr>
    </w:lvl>
  </w:abstractNum>
  <w:abstractNum w:abstractNumId="1277468">
    <w:lvl>
      <w:start w:val="5"/>
      <w:numFmt w:val="decimal"/>
      <w:suff w:val="tab"/>
      <w:lvlText w:val="%1."/>
      <w:rPr>
        <w:color w:val="3370ff"/>
      </w:rPr>
    </w:lvl>
  </w:abstractNum>
  <w:abstractNum w:abstractNumId="1277469">
    <w:lvl>
      <w:start w:val="6"/>
      <w:numFmt w:val="decimal"/>
      <w:suff w:val="tab"/>
      <w:lvlText w:val="%1."/>
      <w:rPr>
        <w:color w:val="3370ff"/>
      </w:rPr>
    </w:lvl>
  </w:abstractNum>
  <w:abstractNum w:abstractNumId="1277470">
    <w:lvl>
      <w:start w:val="7"/>
      <w:numFmt w:val="decimal"/>
      <w:suff w:val="tab"/>
      <w:lvlText w:val="%1."/>
      <w:rPr>
        <w:color w:val="3370ff"/>
      </w:rPr>
    </w:lvl>
  </w:abstractNum>
  <w:abstractNum w:abstractNumId="1277471">
    <w:lvl>
      <w:start w:val="8"/>
      <w:numFmt w:val="decimal"/>
      <w:suff w:val="tab"/>
      <w:lvlText w:val="%1."/>
      <w:rPr>
        <w:color w:val="3370ff"/>
      </w:rPr>
    </w:lvl>
  </w:abstractNum>
  <w:abstractNum w:abstractNumId="1277472">
    <w:lvl>
      <w:start w:val="9"/>
      <w:numFmt w:val="decimal"/>
      <w:suff w:val="tab"/>
      <w:lvlText w:val="%1."/>
      <w:rPr>
        <w:color w:val="3370ff"/>
      </w:rPr>
    </w:lvl>
  </w:abstractNum>
  <w:abstractNum w:abstractNumId="1277473">
    <w:lvl>
      <w:start w:val="10"/>
      <w:numFmt w:val="decimal"/>
      <w:suff w:val="tab"/>
      <w:lvlText w:val="%1."/>
      <w:rPr>
        <w:color w:val="3370ff"/>
      </w:rPr>
    </w:lvl>
  </w:abstractNum>
  <w:num w:numId="1">
    <w:abstractNumId w:val="1277402"/>
  </w:num>
  <w:num w:numId="2">
    <w:abstractNumId w:val="1277403"/>
  </w:num>
  <w:num w:numId="3">
    <w:abstractNumId w:val="1277404"/>
  </w:num>
  <w:num w:numId="4">
    <w:abstractNumId w:val="1277405"/>
  </w:num>
  <w:num w:numId="5">
    <w:abstractNumId w:val="1277406"/>
  </w:num>
  <w:num w:numId="6">
    <w:abstractNumId w:val="1277407"/>
  </w:num>
  <w:num w:numId="7">
    <w:abstractNumId w:val="1277408"/>
  </w:num>
  <w:num w:numId="8">
    <w:abstractNumId w:val="1277409"/>
  </w:num>
  <w:num w:numId="9">
    <w:abstractNumId w:val="1277410"/>
  </w:num>
  <w:num w:numId="10">
    <w:abstractNumId w:val="1277411"/>
  </w:num>
  <w:num w:numId="11">
    <w:abstractNumId w:val="1277412"/>
  </w:num>
  <w:num w:numId="12">
    <w:abstractNumId w:val="1277413"/>
  </w:num>
  <w:num w:numId="13">
    <w:abstractNumId w:val="1277414"/>
  </w:num>
  <w:num w:numId="14">
    <w:abstractNumId w:val="1277415"/>
  </w:num>
  <w:num w:numId="15">
    <w:abstractNumId w:val="1277416"/>
  </w:num>
  <w:num w:numId="16">
    <w:abstractNumId w:val="1277417"/>
  </w:num>
  <w:num w:numId="17">
    <w:abstractNumId w:val="1277418"/>
  </w:num>
  <w:num w:numId="18">
    <w:abstractNumId w:val="1277419"/>
  </w:num>
  <w:num w:numId="19">
    <w:abstractNumId w:val="1277420"/>
  </w:num>
  <w:num w:numId="20">
    <w:abstractNumId w:val="1277421"/>
  </w:num>
  <w:num w:numId="21">
    <w:abstractNumId w:val="1277422"/>
  </w:num>
  <w:num w:numId="22">
    <w:abstractNumId w:val="1277423"/>
  </w:num>
  <w:num w:numId="23">
    <w:abstractNumId w:val="1277424"/>
  </w:num>
  <w:num w:numId="24">
    <w:abstractNumId w:val="1277425"/>
  </w:num>
  <w:num w:numId="25">
    <w:abstractNumId w:val="1277426"/>
  </w:num>
  <w:num w:numId="26">
    <w:abstractNumId w:val="1277427"/>
  </w:num>
  <w:num w:numId="27">
    <w:abstractNumId w:val="1277428"/>
  </w:num>
  <w:num w:numId="28">
    <w:abstractNumId w:val="1277429"/>
  </w:num>
  <w:num w:numId="29">
    <w:abstractNumId w:val="1277430"/>
  </w:num>
  <w:num w:numId="30">
    <w:abstractNumId w:val="1277431"/>
  </w:num>
  <w:num w:numId="31">
    <w:abstractNumId w:val="1277432"/>
  </w:num>
  <w:num w:numId="32">
    <w:abstractNumId w:val="1277433"/>
  </w:num>
  <w:num w:numId="33">
    <w:abstractNumId w:val="1277434"/>
  </w:num>
  <w:num w:numId="34">
    <w:abstractNumId w:val="1277435"/>
  </w:num>
  <w:num w:numId="35">
    <w:abstractNumId w:val="1277436"/>
  </w:num>
  <w:num w:numId="36">
    <w:abstractNumId w:val="1277437"/>
  </w:num>
  <w:num w:numId="37">
    <w:abstractNumId w:val="1277438"/>
  </w:num>
  <w:num w:numId="38">
    <w:abstractNumId w:val="1277439"/>
  </w:num>
  <w:num w:numId="39">
    <w:abstractNumId w:val="1277440"/>
  </w:num>
  <w:num w:numId="40">
    <w:abstractNumId w:val="1277441"/>
  </w:num>
  <w:num w:numId="41">
    <w:abstractNumId w:val="1277442"/>
  </w:num>
  <w:num w:numId="42">
    <w:abstractNumId w:val="1277443"/>
  </w:num>
  <w:num w:numId="43">
    <w:abstractNumId w:val="1277444"/>
  </w:num>
  <w:num w:numId="44">
    <w:abstractNumId w:val="1277445"/>
  </w:num>
  <w:num w:numId="45">
    <w:abstractNumId w:val="1277446"/>
  </w:num>
  <w:num w:numId="46">
    <w:abstractNumId w:val="1277447"/>
  </w:num>
  <w:num w:numId="47">
    <w:abstractNumId w:val="1277448"/>
  </w:num>
  <w:num w:numId="48">
    <w:abstractNumId w:val="1277449"/>
  </w:num>
  <w:num w:numId="49">
    <w:abstractNumId w:val="1277450"/>
  </w:num>
  <w:num w:numId="50">
    <w:abstractNumId w:val="1277451"/>
  </w:num>
  <w:num w:numId="51">
    <w:abstractNumId w:val="1277452"/>
  </w:num>
  <w:num w:numId="52">
    <w:abstractNumId w:val="1277453"/>
  </w:num>
  <w:num w:numId="53">
    <w:abstractNumId w:val="1277454"/>
  </w:num>
  <w:num w:numId="54">
    <w:abstractNumId w:val="1277455"/>
  </w:num>
  <w:num w:numId="55">
    <w:abstractNumId w:val="1277456"/>
  </w:num>
  <w:num w:numId="56">
    <w:abstractNumId w:val="1277457"/>
  </w:num>
  <w:num w:numId="57">
    <w:abstractNumId w:val="1277458"/>
  </w:num>
  <w:num w:numId="58">
    <w:abstractNumId w:val="1277459"/>
  </w:num>
  <w:num w:numId="59">
    <w:abstractNumId w:val="1277460"/>
  </w:num>
  <w:num w:numId="60">
    <w:abstractNumId w:val="1277461"/>
  </w:num>
  <w:num w:numId="61">
    <w:abstractNumId w:val="1277462"/>
  </w:num>
  <w:num w:numId="62">
    <w:abstractNumId w:val="1277463"/>
  </w:num>
  <w:num w:numId="63">
    <w:abstractNumId w:val="1277464"/>
  </w:num>
  <w:num w:numId="64">
    <w:abstractNumId w:val="1277465"/>
  </w:num>
  <w:num w:numId="65">
    <w:abstractNumId w:val="1277466"/>
  </w:num>
  <w:num w:numId="66">
    <w:abstractNumId w:val="1277467"/>
  </w:num>
  <w:num w:numId="67">
    <w:abstractNumId w:val="1277468"/>
  </w:num>
  <w:num w:numId="68">
    <w:abstractNumId w:val="1277469"/>
  </w:num>
  <w:num w:numId="69">
    <w:abstractNumId w:val="1277470"/>
  </w:num>
  <w:num w:numId="70">
    <w:abstractNumId w:val="1277471"/>
  </w:num>
  <w:num w:numId="71">
    <w:abstractNumId w:val="1277472"/>
  </w:num>
  <w:num w:numId="72">
    <w:abstractNumId w:val="1277473"/>
  </w:num>
</w:numbering>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numbering.xml" Type="http://schemas.openxmlformats.org/officeDocument/2006/relationships/numbering"/><Relationship Id="rId5" Target="header1.xml" Type="http://schemas.openxmlformats.org/officeDocument/2006/relationships/head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2026-10-28T02:31:01Z</dcterms:created>
  <dc:creator>Apache POI</dc:creator>
</cp:coreProperties>
</file>