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footer+xml" PartName="/word/footer1.xml"/>
  <Override ContentType="application/vnd.openxmlformats-officedocument.wordprocessingml.header+xml" PartName="/word/header1.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PartName="/docProps/custom.xml" ContentType="application/vnd.openxmlformats-officedocument.custom-propertie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app.xml" Type="http://schemas.openxmlformats.org/officeDocument/2006/relationships/extended-properties"/><Relationship Id="rId3" Target="docProps/core.xml" Type="http://schemas.openxmlformats.org/package/2006/relationships/metadata/core-properties"/><Relationship Id="rId4" Type="http://schemas.openxmlformats.org/officeDocument/2006/relationships/custom-properties" Target="docProps/custom.xml"/></Relationships>
</file>

<file path=word/document.xml><?xml version="1.0" encoding="utf-8"?>
<w:document xmlns:w="http://schemas.openxmlformats.org/wordprocessingml/2006/main" xmlns:r="http://schemas.openxmlformats.org/officeDocument/2006/relationships">
  <w:body>
    <w:p>
      <w:pPr>
        <w:spacing w:before="480" w:after="480" w:line="288" w:lineRule="auto"/>
        <w:ind w:left="0"/>
        <w:jc w:val="left"/>
      </w:pPr>
      <w:r>
        <w:rPr>
          <w:rFonts w:eastAsia="等线" w:ascii="Arial" w:cs="Arial" w:hAnsi="Arial"/>
          <w:b w:val="true"/>
          <w:sz w:val="52"/>
        </w:rPr>
        <w:t>企业标准四份全套（Q/ZGB 001～004）</w:t>
      </w:r>
    </w:p>
    <w:p>
      <w:pPr>
        <w:spacing w:before="120" w:after="120" w:line="288" w:lineRule="auto"/>
        <w:ind w:left="0"/>
        <w:jc w:val="left"/>
      </w:pPr>
      <w:r>
        <w:rPr>
          <w:rFonts w:eastAsia="等线" w:ascii="Arial" w:cs="Arial" w:hAnsi="Arial"/>
          <w:sz w:val="22"/>
        </w:rPr>
        <w:t>本文档包含我司企业标准四份全套，格式可直接用于排版打印及企业标准信息公共服务平台填报。四份标准技术方向相互独立、内部互相引用：</w:t>
      </w:r>
    </w:p>
    <w:p>
      <w:pPr>
        <w:numPr>
          <w:numId w:val="1"/>
        </w:numPr>
        <w:spacing w:before="120" w:after="120" w:line="288" w:lineRule="auto"/>
        <w:ind w:left="0"/>
        <w:jc w:val="left"/>
      </w:pPr>
      <w:r>
        <w:rPr>
          <w:rFonts w:eastAsia="等线" w:ascii="Arial" w:cs="Arial" w:hAnsi="Arial"/>
          <w:sz w:val="22"/>
        </w:rPr>
        <w:t>Q/ZGB 001‑2019 大尺寸微纳米压印辊筒超精密加工机床（整机产品标准）</w:t>
      </w:r>
    </w:p>
    <w:p>
      <w:pPr>
        <w:numPr>
          <w:numId w:val="2"/>
        </w:numPr>
        <w:spacing w:before="120" w:after="120" w:line="288" w:lineRule="auto"/>
        <w:ind w:left="0"/>
        <w:jc w:val="left"/>
      </w:pPr>
      <w:r>
        <w:rPr>
          <w:rFonts w:eastAsia="等线" w:ascii="Arial" w:cs="Arial" w:hAnsi="Arial"/>
          <w:sz w:val="22"/>
        </w:rPr>
        <w:t>Q/ZGB 002‑2026 气浮主轴气膜刚度与承载特性检测规范（零部件检测方法标准）</w:t>
      </w:r>
    </w:p>
    <w:p>
      <w:pPr>
        <w:numPr>
          <w:numId w:val="3"/>
        </w:numPr>
        <w:spacing w:before="120" w:after="120" w:line="288" w:lineRule="auto"/>
        <w:ind w:left="0"/>
        <w:jc w:val="left"/>
      </w:pPr>
      <w:r>
        <w:rPr>
          <w:rFonts w:eastAsia="等线" w:ascii="Arial" w:cs="Arial" w:hAnsi="Arial"/>
          <w:sz w:val="22"/>
        </w:rPr>
        <w:t>Q/ZGB 003‑2026 PCB钻孔用气浮电主轴产品通用技术规范（零部件产品标准）</w:t>
      </w:r>
    </w:p>
    <w:p>
      <w:pPr>
        <w:numPr>
          <w:numId w:val="4"/>
        </w:numPr>
        <w:spacing w:before="120" w:after="120" w:line="288" w:lineRule="auto"/>
        <w:ind w:left="0"/>
        <w:jc w:val="left"/>
      </w:pPr>
      <w:r>
        <w:rPr>
          <w:rFonts w:eastAsia="等线" w:ascii="Arial" w:cs="Arial" w:hAnsi="Arial"/>
          <w:sz w:val="22"/>
        </w:rPr>
        <w:t>Q/ZGB 004‑2026 复合金刚石切削‑激光改性混合超精密成套装备（升级，完整全套装备标准）</w:t>
      </w:r>
    </w:p>
    <w:p>
      <w:pPr>
        <w:pStyle w:val="1"/>
        <w:spacing w:before="380" w:after="140" w:line="288" w:lineRule="auto"/>
        <w:ind w:left="0"/>
        <w:jc w:val="left"/>
        <w:outlineLvl w:val="0"/>
      </w:pPr>
      <w:bookmarkStart w:name="heading_0" w:id="0"/>
      <w:r>
        <w:rPr>
          <w:rFonts w:eastAsia="等线" w:ascii="Arial" w:cs="Arial" w:hAnsi="Arial"/>
          <w:b w:val="true"/>
          <w:sz w:val="36"/>
        </w:rPr>
        <w:t>Q/ZGB 001‑2019 大尺寸微纳米压印辊筒超精密加工机床</w:t>
      </w:r>
      <w:bookmarkEnd w:id="0"/>
    </w:p>
    <w:p>
      <w:pPr>
        <w:pStyle w:val="2"/>
        <w:spacing w:before="320" w:after="120" w:line="288" w:lineRule="auto"/>
        <w:ind w:left="0"/>
        <w:jc w:val="left"/>
        <w:outlineLvl w:val="1"/>
      </w:pPr>
      <w:bookmarkStart w:name="heading_1" w:id="1"/>
      <w:r>
        <w:rPr>
          <w:rFonts w:eastAsia="等线" w:ascii="Arial" w:cs="Arial" w:hAnsi="Arial"/>
          <w:b w:val="true"/>
          <w:sz w:val="32"/>
        </w:rPr>
        <w:t>前 言</w:t>
      </w:r>
      <w:bookmarkEnd w:id="1"/>
    </w:p>
    <w:p>
      <w:pPr>
        <w:spacing w:before="120" w:after="120" w:line="288" w:lineRule="auto"/>
        <w:ind w:left="0"/>
        <w:jc w:val="left"/>
      </w:pPr>
      <w:r>
        <w:rPr>
          <w:rFonts w:eastAsia="等线" w:ascii="Arial" w:cs="Arial" w:hAnsi="Arial"/>
          <w:sz w:val="22"/>
        </w:rPr>
        <w:t>本标准参照GB/T 9061—2006、GB/T 17421.1—1998、JIS B6330—1980、GB/T 16768—1997给出的规则起草。</w:t>
      </w:r>
    </w:p>
    <w:p>
      <w:pPr>
        <w:spacing w:before="120" w:after="120" w:line="288" w:lineRule="auto"/>
        <w:ind w:left="0"/>
        <w:jc w:val="left"/>
      </w:pPr>
      <w:r>
        <w:rPr>
          <w:rFonts w:eastAsia="等线" w:ascii="Arial" w:cs="Arial" w:hAnsi="Arial"/>
          <w:sz w:val="22"/>
        </w:rPr>
        <w:t>本标准由浙江朱光波机械科技有限公司提出并负责起草。</w:t>
      </w:r>
    </w:p>
    <w:p>
      <w:pPr>
        <w:spacing w:before="120" w:after="120" w:line="288" w:lineRule="auto"/>
        <w:ind w:left="0"/>
        <w:jc w:val="left"/>
      </w:pPr>
      <w:r>
        <w:rPr>
          <w:rFonts w:eastAsia="等线" w:ascii="Arial" w:cs="Arial" w:hAnsi="Arial"/>
          <w:sz w:val="22"/>
        </w:rPr>
        <w:t>本标准主要起草人：朱光波、王大力、陈先锋、王晓明。</w:t>
      </w:r>
    </w:p>
    <w:p>
      <w:pPr>
        <w:spacing w:before="120" w:after="120" w:line="288" w:lineRule="auto"/>
        <w:ind w:left="0"/>
        <w:jc w:val="left"/>
      </w:pPr>
      <w:r>
        <w:rPr>
          <w:rFonts w:eastAsia="等线" w:ascii="Arial" w:cs="Arial" w:hAnsi="Arial"/>
          <w:sz w:val="22"/>
        </w:rPr>
        <w:t>本标准于2019年5月3日首次发布并于2019年5月8日实施。</w:t>
      </w:r>
    </w:p>
    <w:p>
      <w:pPr>
        <w:pStyle w:val="2"/>
        <w:spacing w:before="320" w:after="120" w:line="288" w:lineRule="auto"/>
        <w:ind w:left="0"/>
        <w:jc w:val="left"/>
        <w:outlineLvl w:val="1"/>
      </w:pPr>
      <w:bookmarkStart w:name="heading_2" w:id="2"/>
      <w:r>
        <w:rPr>
          <w:rFonts w:eastAsia="等线" w:ascii="Arial" w:cs="Arial" w:hAnsi="Arial"/>
          <w:b w:val="true"/>
          <w:sz w:val="32"/>
        </w:rPr>
        <w:t>1 范围</w:t>
      </w:r>
      <w:bookmarkEnd w:id="2"/>
    </w:p>
    <w:p>
      <w:pPr>
        <w:spacing w:before="120" w:after="120" w:line="288" w:lineRule="auto"/>
        <w:ind w:left="0"/>
        <w:jc w:val="left"/>
      </w:pPr>
      <w:r>
        <w:rPr>
          <w:rFonts w:eastAsia="等线" w:ascii="Arial" w:cs="Arial" w:hAnsi="Arial"/>
          <w:sz w:val="22"/>
        </w:rPr>
        <w:t>本标准规定了大尺寸微纳米压印辊筒超精密加工机床的术语和定义、技术要求、试验方法、检验规则、标志、包装、运输及贮存。</w:t>
      </w:r>
    </w:p>
    <w:p>
      <w:pPr>
        <w:spacing w:before="120" w:after="120" w:line="288" w:lineRule="auto"/>
        <w:ind w:left="0"/>
        <w:jc w:val="left"/>
      </w:pPr>
      <w:r>
        <w:rPr>
          <w:rFonts w:eastAsia="等线" w:ascii="Arial" w:cs="Arial" w:hAnsi="Arial"/>
          <w:sz w:val="22"/>
        </w:rPr>
        <w:t>本部分适用于本公司所生产的大尺寸微纳米压印辊筒超精密加工机床。它是本公司大尺寸微纳米压印辊筒超精密加工机床的产品设计、制造、使用、质量检验和制定各种技术标准、技术文件以及与客户签订相关合同的主要技术依据。</w:t>
      </w:r>
    </w:p>
    <w:p>
      <w:pPr>
        <w:pStyle w:val="2"/>
        <w:spacing w:before="320" w:after="120" w:line="288" w:lineRule="auto"/>
        <w:ind w:left="0"/>
        <w:jc w:val="left"/>
        <w:outlineLvl w:val="1"/>
      </w:pPr>
      <w:bookmarkStart w:name="heading_3" w:id="3"/>
      <w:r>
        <w:rPr>
          <w:rFonts w:eastAsia="等线" w:ascii="Arial" w:cs="Arial" w:hAnsi="Arial"/>
          <w:b w:val="true"/>
          <w:sz w:val="32"/>
        </w:rPr>
        <w:t>2 规范性引用文件</w:t>
      </w:r>
      <w:bookmarkEnd w:id="3"/>
    </w:p>
    <w:p>
      <w:pPr>
        <w:spacing w:before="120" w:after="120" w:line="288" w:lineRule="auto"/>
        <w:ind w:left="0"/>
        <w:jc w:val="left"/>
      </w:pPr>
      <w:r>
        <w:rPr>
          <w:rFonts w:eastAsia="等线" w:ascii="Arial" w:cs="Arial" w:hAnsi="Arial"/>
          <w:sz w:val="22"/>
        </w:rPr>
        <w:t>下列文件对于本文件的应用是必不可少的。凡是注日期的引用文件，仅所注日期的版本适用于本文件。凡是不注日期的引用文件，其最新版本（包括所有的修改单）适用于本文件。</w:t>
      </w:r>
    </w:p>
    <w:p>
      <w:pPr>
        <w:numPr>
          <w:numId w:val="5"/>
        </w:numPr>
        <w:spacing w:before="120" w:after="120" w:line="288" w:lineRule="auto"/>
        <w:ind w:left="0"/>
        <w:jc w:val="left"/>
      </w:pPr>
      <w:r>
        <w:rPr>
          <w:rFonts w:eastAsia="等线" w:ascii="Arial" w:cs="Arial" w:hAnsi="Arial"/>
          <w:sz w:val="22"/>
        </w:rPr>
        <w:t>GB/T 9061—2006 金属切削机床 通用技术条件</w:t>
      </w:r>
    </w:p>
    <w:p>
      <w:pPr>
        <w:numPr>
          <w:numId w:val="6"/>
        </w:numPr>
        <w:spacing w:before="120" w:after="120" w:line="288" w:lineRule="auto"/>
        <w:ind w:left="0"/>
        <w:jc w:val="left"/>
      </w:pPr>
      <w:r>
        <w:rPr>
          <w:rFonts w:eastAsia="等线" w:ascii="Arial" w:cs="Arial" w:hAnsi="Arial"/>
          <w:sz w:val="22"/>
        </w:rPr>
        <w:t>GB 15760—2004 金属切削机床 安全防护通用技术条件</w:t>
      </w:r>
    </w:p>
    <w:p>
      <w:pPr>
        <w:numPr>
          <w:numId w:val="7"/>
        </w:numPr>
        <w:spacing w:before="120" w:after="120" w:line="288" w:lineRule="auto"/>
        <w:ind w:left="0"/>
        <w:jc w:val="left"/>
      </w:pPr>
      <w:r>
        <w:rPr>
          <w:rFonts w:eastAsia="等线" w:ascii="Arial" w:cs="Arial" w:hAnsi="Arial"/>
          <w:sz w:val="22"/>
        </w:rPr>
        <w:t>GB/T 17421.1—1998 机床检验通则 第1部分：在无负荷或精加工条件下机床的几何精度</w:t>
      </w:r>
    </w:p>
    <w:p>
      <w:pPr>
        <w:numPr>
          <w:numId w:val="8"/>
        </w:numPr>
        <w:spacing w:before="120" w:after="120" w:line="288" w:lineRule="auto"/>
        <w:ind w:left="0"/>
        <w:jc w:val="left"/>
      </w:pPr>
      <w:r>
        <w:rPr>
          <w:rFonts w:eastAsia="等线" w:ascii="Arial" w:cs="Arial" w:hAnsi="Arial"/>
          <w:sz w:val="22"/>
        </w:rPr>
        <w:t>JIS B6330—1980 机床准确工作及定位情况统计检查</w:t>
      </w:r>
    </w:p>
    <w:p>
      <w:pPr>
        <w:numPr>
          <w:numId w:val="9"/>
        </w:numPr>
        <w:spacing w:before="120" w:after="120" w:line="288" w:lineRule="auto"/>
        <w:ind w:left="0"/>
        <w:jc w:val="left"/>
      </w:pPr>
      <w:r>
        <w:rPr>
          <w:rFonts w:eastAsia="等线" w:ascii="Arial" w:cs="Arial" w:hAnsi="Arial"/>
          <w:sz w:val="22"/>
        </w:rPr>
        <w:t>GB/T 16768—1997 金属切削机床 振动测量方法</w:t>
      </w:r>
    </w:p>
    <w:p>
      <w:pPr>
        <w:pStyle w:val="2"/>
        <w:spacing w:before="320" w:after="120" w:line="288" w:lineRule="auto"/>
        <w:ind w:left="0"/>
        <w:jc w:val="left"/>
        <w:outlineLvl w:val="1"/>
      </w:pPr>
      <w:bookmarkStart w:name="heading_4" w:id="4"/>
      <w:r>
        <w:rPr>
          <w:rFonts w:eastAsia="等线" w:ascii="Arial" w:cs="Arial" w:hAnsi="Arial"/>
          <w:b w:val="true"/>
          <w:sz w:val="32"/>
        </w:rPr>
        <w:t>3 术语和定义</w:t>
      </w:r>
      <w:bookmarkEnd w:id="4"/>
    </w:p>
    <w:p>
      <w:pPr>
        <w:pStyle w:val="3"/>
        <w:spacing w:before="300" w:after="120" w:line="288" w:lineRule="auto"/>
        <w:ind w:left="0"/>
        <w:jc w:val="left"/>
        <w:outlineLvl w:val="2"/>
      </w:pPr>
      <w:bookmarkStart w:name="heading_5" w:id="5"/>
      <w:r>
        <w:rPr>
          <w:rFonts w:eastAsia="等线" w:ascii="Arial" w:cs="Arial" w:hAnsi="Arial"/>
          <w:b w:val="true"/>
          <w:sz w:val="30"/>
        </w:rPr>
        <w:t>3.1 多轴联动</w:t>
      </w:r>
      <w:bookmarkEnd w:id="5"/>
    </w:p>
    <w:p>
      <w:pPr>
        <w:spacing w:before="120" w:after="120" w:line="288" w:lineRule="auto"/>
        <w:ind w:left="0"/>
        <w:jc w:val="left"/>
      </w:pPr>
      <w:r>
        <w:rPr>
          <w:rFonts w:eastAsia="等线" w:ascii="Arial" w:cs="Arial" w:hAnsi="Arial"/>
          <w:sz w:val="22"/>
        </w:rPr>
        <w:t>一般与主轴平行的是Z轴，按笛卡尔坐标系建立坐标，X轴和Y轴与主轴垂直。多轴联动是指多个进给轴参与插补运算走出一条曲线，这里不包括主轴。B轴是绕Y轴作旋转运动轴。</w:t>
      </w:r>
    </w:p>
    <w:p>
      <w:pPr>
        <w:pStyle w:val="3"/>
        <w:spacing w:before="300" w:after="120" w:line="288" w:lineRule="auto"/>
        <w:ind w:left="0"/>
        <w:jc w:val="left"/>
        <w:outlineLvl w:val="2"/>
      </w:pPr>
      <w:bookmarkStart w:name="heading_6" w:id="6"/>
      <w:r>
        <w:rPr>
          <w:rFonts w:eastAsia="等线" w:ascii="Arial" w:cs="Arial" w:hAnsi="Arial"/>
          <w:b w:val="true"/>
          <w:sz w:val="30"/>
        </w:rPr>
        <w:t>3.2 超精密</w:t>
      </w:r>
      <w:bookmarkEnd w:id="6"/>
    </w:p>
    <w:p>
      <w:pPr>
        <w:spacing w:before="120" w:after="120" w:line="288" w:lineRule="auto"/>
        <w:ind w:left="0"/>
        <w:jc w:val="left"/>
      </w:pPr>
      <w:r>
        <w:rPr>
          <w:rFonts w:eastAsia="等线" w:ascii="Arial" w:cs="Arial" w:hAnsi="Arial"/>
          <w:sz w:val="22"/>
        </w:rPr>
        <w:t>指各联动轴的分辨率达到0.00001mm及以上。</w:t>
      </w:r>
    </w:p>
    <w:p>
      <w:pPr>
        <w:pStyle w:val="3"/>
        <w:spacing w:before="300" w:after="120" w:line="288" w:lineRule="auto"/>
        <w:ind w:left="0"/>
        <w:jc w:val="left"/>
        <w:outlineLvl w:val="2"/>
      </w:pPr>
      <w:bookmarkStart w:name="heading_7" w:id="7"/>
      <w:r>
        <w:rPr>
          <w:rFonts w:eastAsia="等线" w:ascii="Arial" w:cs="Arial" w:hAnsi="Arial"/>
          <w:b w:val="true"/>
          <w:sz w:val="30"/>
        </w:rPr>
        <w:t>3.3 气浮导轨</w:t>
      </w:r>
      <w:bookmarkEnd w:id="7"/>
    </w:p>
    <w:p>
      <w:pPr>
        <w:spacing w:before="120" w:after="120" w:line="288" w:lineRule="auto"/>
        <w:ind w:left="0"/>
        <w:jc w:val="left"/>
      </w:pPr>
      <w:r>
        <w:rPr>
          <w:rFonts w:eastAsia="等线" w:ascii="Arial" w:cs="Arial" w:hAnsi="Arial"/>
          <w:sz w:val="22"/>
        </w:rPr>
        <w:t>基于气体动静压效应，实现空气做承载，无摩擦和无振动的平滑移动。它具有运动精度高、清洁无污染等特点。</w:t>
      </w:r>
    </w:p>
    <w:p>
      <w:pPr>
        <w:pStyle w:val="3"/>
        <w:spacing w:before="300" w:after="120" w:line="288" w:lineRule="auto"/>
        <w:ind w:left="0"/>
        <w:jc w:val="left"/>
        <w:outlineLvl w:val="2"/>
      </w:pPr>
      <w:bookmarkStart w:name="heading_8" w:id="8"/>
      <w:r>
        <w:rPr>
          <w:rFonts w:eastAsia="等线" w:ascii="Arial" w:cs="Arial" w:hAnsi="Arial"/>
          <w:b w:val="true"/>
          <w:sz w:val="30"/>
        </w:rPr>
        <w:t>3.4 油浮轴箱</w:t>
      </w:r>
      <w:bookmarkEnd w:id="8"/>
    </w:p>
    <w:p>
      <w:pPr>
        <w:spacing w:before="120" w:after="120" w:line="288" w:lineRule="auto"/>
        <w:ind w:left="0"/>
        <w:jc w:val="left"/>
      </w:pPr>
      <w:r>
        <w:rPr>
          <w:rFonts w:eastAsia="等线" w:ascii="Arial" w:cs="Arial" w:hAnsi="Arial"/>
          <w:sz w:val="22"/>
        </w:rPr>
        <w:t>主轴利用液体静压轴承支撑的主轴轴箱。</w:t>
      </w:r>
    </w:p>
    <w:p>
      <w:pPr>
        <w:pStyle w:val="2"/>
        <w:spacing w:before="320" w:after="120" w:line="288" w:lineRule="auto"/>
        <w:ind w:left="0"/>
        <w:jc w:val="left"/>
        <w:outlineLvl w:val="1"/>
      </w:pPr>
      <w:bookmarkStart w:name="heading_9" w:id="9"/>
      <w:r>
        <w:rPr>
          <w:rFonts w:eastAsia="等线" w:ascii="Arial" w:cs="Arial" w:hAnsi="Arial"/>
          <w:b w:val="true"/>
          <w:sz w:val="32"/>
        </w:rPr>
        <w:t>4 技术要求</w:t>
      </w:r>
      <w:bookmarkEnd w:id="9"/>
    </w:p>
    <w:p>
      <w:pPr>
        <w:pStyle w:val="3"/>
        <w:spacing w:before="300" w:after="120" w:line="288" w:lineRule="auto"/>
        <w:ind w:left="0"/>
        <w:jc w:val="left"/>
        <w:outlineLvl w:val="2"/>
      </w:pPr>
      <w:bookmarkStart w:name="heading_10" w:id="10"/>
      <w:r>
        <w:rPr>
          <w:rFonts w:eastAsia="等线" w:ascii="Arial" w:cs="Arial" w:hAnsi="Arial"/>
          <w:b w:val="true"/>
          <w:sz w:val="30"/>
        </w:rPr>
        <w:t>4.1 基本参数</w:t>
      </w:r>
      <w:bookmarkEnd w:id="10"/>
    </w:p>
    <w:p>
      <w:pPr>
        <w:spacing w:before="120" w:after="120" w:line="288" w:lineRule="auto"/>
        <w:ind w:left="0"/>
        <w:jc w:val="left"/>
      </w:pPr>
      <w:r>
        <w:rPr>
          <w:rFonts w:eastAsia="等线" w:ascii="Arial" w:cs="Arial" w:hAnsi="Arial"/>
          <w:sz w:val="22"/>
        </w:rPr>
        <w:t>大尺寸微纳米压印辊筒超精密加工机床主要性能参数如下表。</w:t>
      </w:r>
    </w:p>
    <w:tbl>
      <w:tblPr>
        <w:tblW w:w="0" w:type="auto"/>
        <w:tblInd w:w="0" w:type="dxa"/>
        <w:tblBorders>
          <w:top w:val="single" w:color="dee0e3"/>
          <w:left w:val="single" w:color="dee0e3"/>
          <w:bottom w:val="single" w:color="dee0e3"/>
          <w:right w:val="single" w:color="dee0e3"/>
          <w:insideH w:val="single" w:color="dee0e3"/>
          <w:insideV w:val="single" w:color="dee0e3"/>
        </w:tblBorders>
        <w:tblLayout w:type="fixed"/>
      </w:tblPr>
      <w:tblGrid>
        <w:gridCol w:w="2235"/>
        <w:gridCol w:w="1350"/>
        <w:gridCol w:w="4695"/>
      </w:tblGrid>
      <w:tr>
        <w:tc>
          <w:tcPr>
            <w:tcW w:w="2235" w:type="dxa"/>
            <w:tcMar>
              <w:top w:type="dxa" w:w="60"/>
              <w:left w:type="dxa" w:w="120"/>
              <w:bottom w:type="dxa" w:w="30"/>
              <w:right w:type="dxa" w:w="120"/>
            </w:tcMar>
          </w:tcPr>
          <w:p>
            <w:pPr>
              <w:spacing w:before="120" w:after="120" w:line="288" w:lineRule="auto"/>
              <w:ind w:left="0"/>
              <w:jc w:val="left"/>
            </w:pPr>
            <w:r>
              <w:rPr>
                <w:rFonts w:eastAsia="等线" w:ascii="Arial" w:cs="Arial" w:hAnsi="Arial"/>
                <w:sz w:val="22"/>
              </w:rPr>
              <w:t>项目</w:t>
            </w:r>
          </w:p>
        </w:tc>
        <w:tc>
          <w:tcPr>
            <w:tcW w:w="1350" w:type="dxa"/>
            <w:tcMar>
              <w:top w:type="dxa" w:w="60"/>
              <w:left w:type="dxa" w:w="120"/>
              <w:bottom w:type="dxa" w:w="30"/>
              <w:right w:type="dxa" w:w="120"/>
            </w:tcMar>
          </w:tcPr>
          <w:p>
            <w:pPr>
              <w:spacing w:before="120" w:after="120" w:line="288" w:lineRule="auto"/>
              <w:ind w:left="0"/>
              <w:jc w:val="left"/>
            </w:pPr>
            <w:r>
              <w:rPr>
                <w:rFonts w:eastAsia="等线" w:ascii="Arial" w:cs="Arial" w:hAnsi="Arial"/>
                <w:sz w:val="22"/>
              </w:rPr>
              <w:t>单位</w:t>
            </w:r>
          </w:p>
        </w:tc>
        <w:tc>
          <w:tcPr>
            <w:tcW w:w="4695" w:type="dxa"/>
            <w:tcMar>
              <w:top w:type="dxa" w:w="60"/>
              <w:left w:type="dxa" w:w="120"/>
              <w:bottom w:type="dxa" w:w="30"/>
              <w:right w:type="dxa" w:w="120"/>
            </w:tcMar>
          </w:tcPr>
          <w:p>
            <w:pPr>
              <w:spacing w:before="120" w:after="120" w:line="288" w:lineRule="auto"/>
              <w:ind w:left="0"/>
              <w:jc w:val="left"/>
            </w:pPr>
            <w:r>
              <w:rPr>
                <w:rFonts w:eastAsia="等线" w:ascii="Arial" w:cs="Arial" w:hAnsi="Arial"/>
                <w:sz w:val="22"/>
              </w:rPr>
              <w:t>参数</w:t>
            </w:r>
          </w:p>
        </w:tc>
      </w:tr>
      <w:tr>
        <w:tc>
          <w:tcPr>
            <w:tcW w:w="2235" w:type="dxa"/>
            <w:tcMar>
              <w:top w:type="dxa" w:w="60"/>
              <w:left w:type="dxa" w:w="120"/>
              <w:bottom w:type="dxa" w:w="30"/>
              <w:right w:type="dxa" w:w="120"/>
            </w:tcMar>
          </w:tcPr>
          <w:p>
            <w:pPr>
              <w:spacing w:before="120" w:after="120" w:line="288" w:lineRule="auto"/>
              <w:ind w:left="0"/>
              <w:jc w:val="left"/>
            </w:pPr>
            <w:r>
              <w:rPr>
                <w:rFonts w:eastAsia="等线" w:ascii="Arial" w:cs="Arial" w:hAnsi="Arial"/>
                <w:b w:val="true"/>
                <w:sz w:val="22"/>
              </w:rPr>
              <w:t>行程</w:t>
            </w:r>
          </w:p>
        </w:tc>
        <w:tc>
          <w:tcPr>
            <w:tcW w:w="1350" w:type="dxa"/>
            <w:tcMar>
              <w:top w:type="dxa" w:w="60"/>
              <w:left w:type="dxa" w:w="120"/>
              <w:bottom w:type="dxa" w:w="30"/>
              <w:right w:type="dxa" w:w="120"/>
            </w:tcMar>
          </w:tcPr>
          <w:p>
            <w:pPr>
              <w:spacing w:before="120" w:after="120" w:line="288" w:lineRule="auto"/>
              <w:ind w:left="0"/>
              <w:jc w:val="left"/>
            </w:pPr>
            <w:r>
              <w:rPr>
                <w:rFonts w:eastAsia="等线" w:ascii="Arial" w:cs="Arial" w:hAnsi="Arial"/>
                <w:sz w:val="22"/>
              </w:rPr>
              <w:t>—</w:t>
            </w:r>
          </w:p>
        </w:tc>
        <w:tc>
          <w:tcPr>
            <w:tcW w:w="4695" w:type="dxa"/>
            <w:tcMar>
              <w:top w:type="dxa" w:w="60"/>
              <w:left w:type="dxa" w:w="120"/>
              <w:bottom w:type="dxa" w:w="30"/>
              <w:right w:type="dxa" w:w="120"/>
            </w:tcMar>
          </w:tcPr>
          <w:p>
            <w:pPr>
              <w:spacing w:before="120" w:after="120" w:line="288" w:lineRule="auto"/>
              <w:ind w:left="0"/>
              <w:jc w:val="left"/>
            </w:pPr>
            <w:r>
              <w:rPr>
                <w:rFonts w:eastAsia="等线" w:ascii="Arial" w:cs="Arial" w:hAnsi="Arial"/>
                <w:sz w:val="22"/>
              </w:rPr>
              <w:t>—</w:t>
            </w:r>
          </w:p>
        </w:tc>
      </w:tr>
      <w:tr>
        <w:tc>
          <w:tcPr>
            <w:tcW w:w="2235" w:type="dxa"/>
            <w:tcMar>
              <w:top w:type="dxa" w:w="60"/>
              <w:left w:type="dxa" w:w="120"/>
              <w:bottom w:type="dxa" w:w="30"/>
              <w:right w:type="dxa" w:w="120"/>
            </w:tcMar>
          </w:tcPr>
          <w:p>
            <w:pPr>
              <w:spacing w:before="120" w:after="120" w:line="288" w:lineRule="auto"/>
              <w:ind w:left="0"/>
              <w:jc w:val="left"/>
            </w:pPr>
            <w:r>
              <w:rPr>
                <w:rFonts w:eastAsia="等线" w:ascii="Arial" w:cs="Arial" w:hAnsi="Arial"/>
                <w:sz w:val="22"/>
              </w:rPr>
              <w:t>X行程</w:t>
            </w:r>
          </w:p>
        </w:tc>
        <w:tc>
          <w:tcPr>
            <w:tcW w:w="1350" w:type="dxa"/>
            <w:tcMar>
              <w:top w:type="dxa" w:w="60"/>
              <w:left w:type="dxa" w:w="120"/>
              <w:bottom w:type="dxa" w:w="30"/>
              <w:right w:type="dxa" w:w="120"/>
            </w:tcMar>
          </w:tcPr>
          <w:p>
            <w:pPr>
              <w:spacing w:before="120" w:after="120" w:line="288" w:lineRule="auto"/>
              <w:ind w:left="0"/>
              <w:jc w:val="left"/>
            </w:pPr>
            <w:r>
              <w:rPr>
                <w:rFonts w:eastAsia="等线" w:ascii="Arial" w:cs="Arial" w:hAnsi="Arial"/>
                <w:sz w:val="22"/>
              </w:rPr>
              <w:t>mm</w:t>
            </w:r>
          </w:p>
        </w:tc>
        <w:tc>
          <w:tcPr>
            <w:tcW w:w="4695" w:type="dxa"/>
            <w:tcMar>
              <w:top w:type="dxa" w:w="60"/>
              <w:left w:type="dxa" w:w="120"/>
              <w:bottom w:type="dxa" w:w="30"/>
              <w:right w:type="dxa" w:w="120"/>
            </w:tcMar>
          </w:tcPr>
          <w:p>
            <w:pPr>
              <w:spacing w:before="120" w:after="120" w:line="288" w:lineRule="auto"/>
              <w:ind w:left="0"/>
              <w:jc w:val="left"/>
            </w:pPr>
            <w:r>
              <w:rPr>
                <w:rFonts w:eastAsia="等线" w:ascii="Arial" w:cs="Arial" w:hAnsi="Arial"/>
                <w:sz w:val="22"/>
              </w:rPr>
              <w:t>3000</w:t>
            </w:r>
          </w:p>
        </w:tc>
      </w:tr>
      <w:tr>
        <w:tc>
          <w:tcPr>
            <w:tcW w:w="2235" w:type="dxa"/>
            <w:tcMar>
              <w:top w:type="dxa" w:w="60"/>
              <w:left w:type="dxa" w:w="120"/>
              <w:bottom w:type="dxa" w:w="30"/>
              <w:right w:type="dxa" w:w="120"/>
            </w:tcMar>
          </w:tcPr>
          <w:p>
            <w:pPr>
              <w:spacing w:before="120" w:after="120" w:line="288" w:lineRule="auto"/>
              <w:ind w:left="0"/>
              <w:jc w:val="left"/>
            </w:pPr>
            <w:r>
              <w:rPr>
                <w:rFonts w:eastAsia="等线" w:ascii="Arial" w:cs="Arial" w:hAnsi="Arial"/>
                <w:sz w:val="22"/>
              </w:rPr>
              <w:t>Z行程</w:t>
            </w:r>
          </w:p>
        </w:tc>
        <w:tc>
          <w:tcPr>
            <w:tcW w:w="1350" w:type="dxa"/>
            <w:tcMar>
              <w:top w:type="dxa" w:w="60"/>
              <w:left w:type="dxa" w:w="120"/>
              <w:bottom w:type="dxa" w:w="30"/>
              <w:right w:type="dxa" w:w="120"/>
            </w:tcMar>
          </w:tcPr>
          <w:p>
            <w:pPr>
              <w:spacing w:before="120" w:after="120" w:line="288" w:lineRule="auto"/>
              <w:ind w:left="0"/>
              <w:jc w:val="left"/>
            </w:pPr>
            <w:r>
              <w:rPr>
                <w:rFonts w:eastAsia="等线" w:ascii="Arial" w:cs="Arial" w:hAnsi="Arial"/>
                <w:sz w:val="22"/>
              </w:rPr>
              <w:t>mm</w:t>
            </w:r>
          </w:p>
        </w:tc>
        <w:tc>
          <w:tcPr>
            <w:tcW w:w="4695" w:type="dxa"/>
            <w:tcMar>
              <w:top w:type="dxa" w:w="60"/>
              <w:left w:type="dxa" w:w="120"/>
              <w:bottom w:type="dxa" w:w="30"/>
              <w:right w:type="dxa" w:w="120"/>
            </w:tcMar>
          </w:tcPr>
          <w:p>
            <w:pPr>
              <w:spacing w:before="120" w:after="120" w:line="288" w:lineRule="auto"/>
              <w:ind w:left="0"/>
              <w:jc w:val="left"/>
            </w:pPr>
            <w:r>
              <w:rPr>
                <w:rFonts w:eastAsia="等线" w:ascii="Arial" w:cs="Arial" w:hAnsi="Arial"/>
                <w:sz w:val="22"/>
              </w:rPr>
              <w:t>30</w:t>
            </w:r>
          </w:p>
        </w:tc>
      </w:tr>
      <w:tr>
        <w:tc>
          <w:tcPr>
            <w:tcW w:w="2235" w:type="dxa"/>
            <w:tcMar>
              <w:top w:type="dxa" w:w="60"/>
              <w:left w:type="dxa" w:w="120"/>
              <w:bottom w:type="dxa" w:w="30"/>
              <w:right w:type="dxa" w:w="120"/>
            </w:tcMar>
          </w:tcPr>
          <w:p>
            <w:pPr>
              <w:spacing w:before="120" w:after="120" w:line="288" w:lineRule="auto"/>
              <w:ind w:left="0"/>
              <w:jc w:val="left"/>
            </w:pPr>
            <w:r>
              <w:rPr>
                <w:rFonts w:eastAsia="等线" w:ascii="Arial" w:cs="Arial" w:hAnsi="Arial"/>
                <w:sz w:val="22"/>
              </w:rPr>
              <w:t>B精度</w:t>
            </w:r>
          </w:p>
        </w:tc>
        <w:tc>
          <w:tcPr>
            <w:tcW w:w="1350" w:type="dxa"/>
            <w:tcMar>
              <w:top w:type="dxa" w:w="60"/>
              <w:left w:type="dxa" w:w="120"/>
              <w:bottom w:type="dxa" w:w="30"/>
              <w:right w:type="dxa" w:w="120"/>
            </w:tcMar>
          </w:tcPr>
          <w:p>
            <w:pPr>
              <w:spacing w:before="120" w:after="120" w:line="288" w:lineRule="auto"/>
              <w:ind w:left="0"/>
              <w:jc w:val="left"/>
            </w:pPr>
            <w:r>
              <w:rPr>
                <w:rFonts w:eastAsia="等线" w:ascii="Arial" w:cs="Arial" w:hAnsi="Arial"/>
                <w:sz w:val="22"/>
              </w:rPr>
              <w:t>度</w:t>
            </w:r>
          </w:p>
        </w:tc>
        <w:tc>
          <w:tcPr>
            <w:tcW w:w="4695" w:type="dxa"/>
            <w:tcMar>
              <w:top w:type="dxa" w:w="60"/>
              <w:left w:type="dxa" w:w="120"/>
              <w:bottom w:type="dxa" w:w="30"/>
              <w:right w:type="dxa" w:w="120"/>
            </w:tcMar>
          </w:tcPr>
          <w:p>
            <w:pPr>
              <w:spacing w:before="120" w:after="120" w:line="288" w:lineRule="auto"/>
              <w:ind w:left="0"/>
              <w:jc w:val="left"/>
            </w:pPr>
            <w:r>
              <w:rPr>
                <w:rFonts w:eastAsia="等线" w:ascii="Arial" w:cs="Arial" w:hAnsi="Arial"/>
                <w:sz w:val="22"/>
              </w:rPr>
              <w:t>&lt;80°</w:t>
            </w:r>
          </w:p>
        </w:tc>
      </w:tr>
      <w:tr>
        <w:tc>
          <w:tcPr>
            <w:tcW w:w="2235" w:type="dxa"/>
            <w:tcMar>
              <w:top w:type="dxa" w:w="60"/>
              <w:left w:type="dxa" w:w="120"/>
              <w:bottom w:type="dxa" w:w="30"/>
              <w:right w:type="dxa" w:w="120"/>
            </w:tcMar>
          </w:tcPr>
          <w:p>
            <w:pPr>
              <w:spacing w:before="120" w:after="120" w:line="288" w:lineRule="auto"/>
              <w:ind w:left="0"/>
              <w:jc w:val="left"/>
            </w:pPr>
            <w:r>
              <w:rPr>
                <w:rFonts w:eastAsia="等线" w:ascii="Arial" w:cs="Arial" w:hAnsi="Arial"/>
                <w:b w:val="true"/>
                <w:sz w:val="22"/>
              </w:rPr>
              <w:t>主轴（工作回旋轴）</w:t>
            </w:r>
          </w:p>
        </w:tc>
        <w:tc>
          <w:tcPr>
            <w:tcW w:w="1350" w:type="dxa"/>
            <w:tcMar>
              <w:top w:type="dxa" w:w="60"/>
              <w:left w:type="dxa" w:w="120"/>
              <w:bottom w:type="dxa" w:w="30"/>
              <w:right w:type="dxa" w:w="120"/>
            </w:tcMar>
          </w:tcPr>
          <w:p>
            <w:pPr>
              <w:spacing w:before="120" w:after="120" w:line="288" w:lineRule="auto"/>
              <w:ind w:left="0"/>
              <w:jc w:val="left"/>
            </w:pPr>
            <w:r>
              <w:rPr>
                <w:rFonts w:eastAsia="等线" w:ascii="Arial" w:cs="Arial" w:hAnsi="Arial"/>
                <w:sz w:val="22"/>
              </w:rPr>
              <w:t>—</w:t>
            </w:r>
          </w:p>
        </w:tc>
        <w:tc>
          <w:tcPr>
            <w:tcW w:w="4695" w:type="dxa"/>
            <w:tcMar>
              <w:top w:type="dxa" w:w="60"/>
              <w:left w:type="dxa" w:w="120"/>
              <w:bottom w:type="dxa" w:w="30"/>
              <w:right w:type="dxa" w:w="120"/>
            </w:tcMar>
          </w:tcPr>
          <w:p>
            <w:pPr>
              <w:spacing w:before="120" w:after="120" w:line="288" w:lineRule="auto"/>
              <w:ind w:left="0"/>
              <w:jc w:val="left"/>
            </w:pPr>
            <w:r>
              <w:rPr>
                <w:rFonts w:eastAsia="等线" w:ascii="Arial" w:cs="Arial" w:hAnsi="Arial"/>
                <w:sz w:val="22"/>
              </w:rPr>
              <w:t>—</w:t>
            </w:r>
          </w:p>
        </w:tc>
      </w:tr>
      <w:tr>
        <w:tc>
          <w:tcPr>
            <w:tcW w:w="2235" w:type="dxa"/>
            <w:tcMar>
              <w:top w:type="dxa" w:w="60"/>
              <w:left w:type="dxa" w:w="120"/>
              <w:bottom w:type="dxa" w:w="30"/>
              <w:right w:type="dxa" w:w="120"/>
            </w:tcMar>
          </w:tcPr>
          <w:p>
            <w:pPr>
              <w:spacing w:before="120" w:after="120" w:line="288" w:lineRule="auto"/>
              <w:ind w:left="0"/>
              <w:jc w:val="left"/>
            </w:pPr>
            <w:r>
              <w:rPr>
                <w:rFonts w:eastAsia="等线" w:ascii="Arial" w:cs="Arial" w:hAnsi="Arial"/>
                <w:sz w:val="22"/>
              </w:rPr>
              <w:t>主轴转速</w:t>
            </w:r>
          </w:p>
        </w:tc>
        <w:tc>
          <w:tcPr>
            <w:tcW w:w="1350" w:type="dxa"/>
            <w:tcMar>
              <w:top w:type="dxa" w:w="60"/>
              <w:left w:type="dxa" w:w="120"/>
              <w:bottom w:type="dxa" w:w="30"/>
              <w:right w:type="dxa" w:w="120"/>
            </w:tcMar>
          </w:tcPr>
          <w:p>
            <w:pPr>
              <w:spacing w:before="120" w:after="120" w:line="288" w:lineRule="auto"/>
              <w:ind w:left="0"/>
              <w:jc w:val="left"/>
            </w:pPr>
            <w:r>
              <w:rPr>
                <w:rFonts w:eastAsia="等线" w:ascii="Arial" w:cs="Arial" w:hAnsi="Arial"/>
                <w:sz w:val="22"/>
              </w:rPr>
              <w:t>rpm</w:t>
            </w:r>
          </w:p>
        </w:tc>
        <w:tc>
          <w:tcPr>
            <w:tcW w:w="4695" w:type="dxa"/>
            <w:tcMar>
              <w:top w:type="dxa" w:w="60"/>
              <w:left w:type="dxa" w:w="120"/>
              <w:bottom w:type="dxa" w:w="30"/>
              <w:right w:type="dxa" w:w="120"/>
            </w:tcMar>
          </w:tcPr>
          <w:p>
            <w:pPr>
              <w:spacing w:before="120" w:after="120" w:line="288" w:lineRule="auto"/>
              <w:ind w:left="0"/>
              <w:jc w:val="left"/>
            </w:pPr>
            <w:r>
              <w:rPr>
                <w:rFonts w:eastAsia="等线" w:ascii="Arial" w:cs="Arial" w:hAnsi="Arial"/>
                <w:sz w:val="22"/>
              </w:rPr>
              <w:t>50~300r/min</w:t>
            </w:r>
          </w:p>
        </w:tc>
      </w:tr>
      <w:tr>
        <w:tc>
          <w:tcPr>
            <w:tcW w:w="2235" w:type="dxa"/>
            <w:tcMar>
              <w:top w:type="dxa" w:w="60"/>
              <w:left w:type="dxa" w:w="120"/>
              <w:bottom w:type="dxa" w:w="30"/>
              <w:right w:type="dxa" w:w="120"/>
            </w:tcMar>
          </w:tcPr>
          <w:p>
            <w:pPr>
              <w:spacing w:before="120" w:after="120" w:line="288" w:lineRule="auto"/>
              <w:ind w:left="0"/>
              <w:jc w:val="left"/>
            </w:pPr>
            <w:r>
              <w:rPr>
                <w:rFonts w:eastAsia="等线" w:ascii="Arial" w:cs="Arial" w:hAnsi="Arial"/>
                <w:sz w:val="22"/>
              </w:rPr>
              <w:t>主电机功率</w:t>
            </w:r>
          </w:p>
        </w:tc>
        <w:tc>
          <w:tcPr>
            <w:tcW w:w="1350" w:type="dxa"/>
            <w:tcMar>
              <w:top w:type="dxa" w:w="60"/>
              <w:left w:type="dxa" w:w="120"/>
              <w:bottom w:type="dxa" w:w="30"/>
              <w:right w:type="dxa" w:w="120"/>
            </w:tcMar>
          </w:tcPr>
          <w:p>
            <w:pPr>
              <w:spacing w:before="120" w:after="120" w:line="288" w:lineRule="auto"/>
              <w:ind w:left="0"/>
              <w:jc w:val="left"/>
            </w:pPr>
            <w:r>
              <w:rPr>
                <w:rFonts w:eastAsia="等线" w:ascii="Arial" w:cs="Arial" w:hAnsi="Arial"/>
                <w:sz w:val="22"/>
              </w:rPr>
              <w:t>KW</w:t>
            </w:r>
          </w:p>
        </w:tc>
        <w:tc>
          <w:tcPr>
            <w:tcW w:w="4695" w:type="dxa"/>
            <w:tcMar>
              <w:top w:type="dxa" w:w="60"/>
              <w:left w:type="dxa" w:w="120"/>
              <w:bottom w:type="dxa" w:w="30"/>
              <w:right w:type="dxa" w:w="120"/>
            </w:tcMar>
          </w:tcPr>
          <w:p>
            <w:pPr>
              <w:spacing w:before="120" w:after="120" w:line="288" w:lineRule="auto"/>
              <w:ind w:left="0"/>
              <w:jc w:val="left"/>
            </w:pPr>
            <w:r>
              <w:rPr>
                <w:rFonts w:eastAsia="等线" w:ascii="Arial" w:cs="Arial" w:hAnsi="Arial"/>
                <w:sz w:val="22"/>
              </w:rPr>
              <w:t>15KW</w:t>
            </w:r>
          </w:p>
        </w:tc>
      </w:tr>
      <w:tr>
        <w:tc>
          <w:tcPr>
            <w:tcW w:w="2235" w:type="dxa"/>
            <w:tcMar>
              <w:top w:type="dxa" w:w="60"/>
              <w:left w:type="dxa" w:w="120"/>
              <w:bottom w:type="dxa" w:w="30"/>
              <w:right w:type="dxa" w:w="120"/>
            </w:tcMar>
          </w:tcPr>
          <w:p>
            <w:pPr>
              <w:spacing w:before="120" w:after="120" w:line="288" w:lineRule="auto"/>
              <w:ind w:left="0"/>
              <w:jc w:val="left"/>
            </w:pPr>
            <w:r>
              <w:rPr>
                <w:rFonts w:eastAsia="等线" w:ascii="Arial" w:cs="Arial" w:hAnsi="Arial"/>
                <w:sz w:val="22"/>
              </w:rPr>
              <w:t>使用姿势</w:t>
            </w:r>
          </w:p>
        </w:tc>
        <w:tc>
          <w:tcPr>
            <w:tcW w:w="1350" w:type="dxa"/>
            <w:tcMar>
              <w:top w:type="dxa" w:w="60"/>
              <w:left w:type="dxa" w:w="120"/>
              <w:bottom w:type="dxa" w:w="30"/>
              <w:right w:type="dxa" w:w="120"/>
            </w:tcMar>
          </w:tcPr>
          <w:p>
            <w:pPr>
              <w:spacing w:before="120" w:after="120" w:line="288" w:lineRule="auto"/>
              <w:ind w:left="0"/>
              <w:jc w:val="left"/>
            </w:pPr>
            <w:r>
              <w:rPr>
                <w:rFonts w:eastAsia="等线" w:ascii="Arial" w:cs="Arial" w:hAnsi="Arial"/>
                <w:sz w:val="22"/>
              </w:rPr>
              <w:t>—</w:t>
            </w:r>
          </w:p>
        </w:tc>
        <w:tc>
          <w:tcPr>
            <w:tcW w:w="4695" w:type="dxa"/>
            <w:tcMar>
              <w:top w:type="dxa" w:w="60"/>
              <w:left w:type="dxa" w:w="120"/>
              <w:bottom w:type="dxa" w:w="30"/>
              <w:right w:type="dxa" w:w="120"/>
            </w:tcMar>
          </w:tcPr>
          <w:p>
            <w:pPr>
              <w:spacing w:before="120" w:after="120" w:line="288" w:lineRule="auto"/>
              <w:ind w:left="0"/>
              <w:jc w:val="left"/>
            </w:pPr>
            <w:r>
              <w:rPr>
                <w:rFonts w:eastAsia="等线" w:ascii="Arial" w:cs="Arial" w:hAnsi="Arial"/>
                <w:sz w:val="22"/>
              </w:rPr>
              <w:t>横置</w:t>
            </w:r>
          </w:p>
        </w:tc>
      </w:tr>
      <w:tr>
        <w:tc>
          <w:tcPr>
            <w:tcW w:w="2235" w:type="dxa"/>
            <w:tcMar>
              <w:top w:type="dxa" w:w="60"/>
              <w:left w:type="dxa" w:w="120"/>
              <w:bottom w:type="dxa" w:w="30"/>
              <w:right w:type="dxa" w:w="120"/>
            </w:tcMar>
          </w:tcPr>
          <w:p>
            <w:pPr>
              <w:spacing w:before="120" w:after="120" w:line="288" w:lineRule="auto"/>
              <w:ind w:left="0"/>
              <w:jc w:val="left"/>
            </w:pPr>
            <w:r>
              <w:rPr>
                <w:rFonts w:eastAsia="等线" w:ascii="Arial" w:cs="Arial" w:hAnsi="Arial"/>
                <w:sz w:val="22"/>
              </w:rPr>
              <w:t>冷却方式</w:t>
            </w:r>
          </w:p>
        </w:tc>
        <w:tc>
          <w:tcPr>
            <w:tcW w:w="1350" w:type="dxa"/>
            <w:tcMar>
              <w:top w:type="dxa" w:w="60"/>
              <w:left w:type="dxa" w:w="120"/>
              <w:bottom w:type="dxa" w:w="30"/>
              <w:right w:type="dxa" w:w="120"/>
            </w:tcMar>
          </w:tcPr>
          <w:p>
            <w:pPr>
              <w:spacing w:before="120" w:after="120" w:line="288" w:lineRule="auto"/>
              <w:ind w:left="0"/>
              <w:jc w:val="left"/>
            </w:pPr>
            <w:r>
              <w:rPr>
                <w:rFonts w:eastAsia="等线" w:ascii="Arial" w:cs="Arial" w:hAnsi="Arial"/>
                <w:sz w:val="22"/>
              </w:rPr>
              <w:t>—</w:t>
            </w:r>
          </w:p>
        </w:tc>
        <w:tc>
          <w:tcPr>
            <w:tcW w:w="4695" w:type="dxa"/>
            <w:tcMar>
              <w:top w:type="dxa" w:w="60"/>
              <w:left w:type="dxa" w:w="120"/>
              <w:bottom w:type="dxa" w:w="30"/>
              <w:right w:type="dxa" w:w="120"/>
            </w:tcMar>
          </w:tcPr>
          <w:p>
            <w:pPr>
              <w:spacing w:before="120" w:after="120" w:line="288" w:lineRule="auto"/>
              <w:ind w:left="0"/>
              <w:jc w:val="left"/>
            </w:pPr>
            <w:r>
              <w:rPr>
                <w:rFonts w:eastAsia="等线" w:ascii="Arial" w:cs="Arial" w:hAnsi="Arial"/>
                <w:sz w:val="22"/>
              </w:rPr>
              <w:t>强制空冷</w:t>
            </w:r>
          </w:p>
        </w:tc>
      </w:tr>
      <w:tr>
        <w:tc>
          <w:tcPr>
            <w:tcW w:w="2235" w:type="dxa"/>
            <w:tcMar>
              <w:top w:type="dxa" w:w="60"/>
              <w:left w:type="dxa" w:w="120"/>
              <w:bottom w:type="dxa" w:w="30"/>
              <w:right w:type="dxa" w:w="120"/>
            </w:tcMar>
          </w:tcPr>
          <w:p>
            <w:pPr>
              <w:spacing w:before="120" w:after="120" w:line="288" w:lineRule="auto"/>
              <w:ind w:left="0"/>
              <w:jc w:val="left"/>
            </w:pPr>
            <w:r>
              <w:rPr>
                <w:rFonts w:eastAsia="等线" w:ascii="Arial" w:cs="Arial" w:hAnsi="Arial"/>
                <w:sz w:val="22"/>
              </w:rPr>
              <w:t>供气气压</w:t>
            </w:r>
          </w:p>
        </w:tc>
        <w:tc>
          <w:tcPr>
            <w:tcW w:w="1350" w:type="dxa"/>
            <w:tcMar>
              <w:top w:type="dxa" w:w="60"/>
              <w:left w:type="dxa" w:w="120"/>
              <w:bottom w:type="dxa" w:w="30"/>
              <w:right w:type="dxa" w:w="120"/>
            </w:tcMar>
          </w:tcPr>
          <w:p>
            <w:pPr>
              <w:spacing w:before="120" w:after="120" w:line="288" w:lineRule="auto"/>
              <w:ind w:left="0"/>
              <w:jc w:val="left"/>
            </w:pPr>
            <w:r>
              <w:rPr>
                <w:rFonts w:eastAsia="等线" w:ascii="Arial" w:cs="Arial" w:hAnsi="Arial"/>
                <w:sz w:val="22"/>
              </w:rPr>
              <w:t>Mpa</w:t>
            </w:r>
          </w:p>
        </w:tc>
        <w:tc>
          <w:tcPr>
            <w:tcW w:w="4695" w:type="dxa"/>
            <w:tcMar>
              <w:top w:type="dxa" w:w="60"/>
              <w:left w:type="dxa" w:w="120"/>
              <w:bottom w:type="dxa" w:w="30"/>
              <w:right w:type="dxa" w:w="120"/>
            </w:tcMar>
          </w:tcPr>
          <w:p>
            <w:pPr>
              <w:spacing w:before="120" w:after="120" w:line="288" w:lineRule="auto"/>
              <w:ind w:left="0"/>
              <w:jc w:val="left"/>
            </w:pPr>
            <w:r>
              <w:rPr>
                <w:rFonts w:eastAsia="等线" w:ascii="Arial" w:cs="Arial" w:hAnsi="Arial"/>
                <w:sz w:val="22"/>
              </w:rPr>
              <w:t>0.4~0.6Mpa</w:t>
            </w:r>
          </w:p>
        </w:tc>
      </w:tr>
      <w:tr>
        <w:tc>
          <w:tcPr>
            <w:tcW w:w="2235" w:type="dxa"/>
            <w:tcMar>
              <w:top w:type="dxa" w:w="60"/>
              <w:left w:type="dxa" w:w="120"/>
              <w:bottom w:type="dxa" w:w="30"/>
              <w:right w:type="dxa" w:w="120"/>
            </w:tcMar>
          </w:tcPr>
          <w:p>
            <w:pPr>
              <w:spacing w:before="120" w:after="120" w:line="288" w:lineRule="auto"/>
              <w:ind w:left="0"/>
              <w:jc w:val="left"/>
            </w:pPr>
            <w:r>
              <w:rPr>
                <w:rFonts w:eastAsia="等线" w:ascii="Arial" w:cs="Arial" w:hAnsi="Arial"/>
                <w:sz w:val="22"/>
              </w:rPr>
              <w:t>电机保护</w:t>
            </w:r>
          </w:p>
        </w:tc>
        <w:tc>
          <w:tcPr>
            <w:tcW w:w="1350" w:type="dxa"/>
            <w:tcMar>
              <w:top w:type="dxa" w:w="60"/>
              <w:left w:type="dxa" w:w="120"/>
              <w:bottom w:type="dxa" w:w="30"/>
              <w:right w:type="dxa" w:w="120"/>
            </w:tcMar>
          </w:tcPr>
          <w:p>
            <w:pPr>
              <w:spacing w:before="120" w:after="120" w:line="288" w:lineRule="auto"/>
              <w:ind w:left="0"/>
              <w:jc w:val="left"/>
            </w:pPr>
            <w:r>
              <w:rPr>
                <w:rFonts w:eastAsia="等线" w:ascii="Arial" w:cs="Arial" w:hAnsi="Arial"/>
                <w:sz w:val="22"/>
              </w:rPr>
              <w:t>—</w:t>
            </w:r>
          </w:p>
        </w:tc>
        <w:tc>
          <w:tcPr>
            <w:tcW w:w="4695" w:type="dxa"/>
            <w:tcMar>
              <w:top w:type="dxa" w:w="60"/>
              <w:left w:type="dxa" w:w="120"/>
              <w:bottom w:type="dxa" w:w="30"/>
              <w:right w:type="dxa" w:w="120"/>
            </w:tcMar>
          </w:tcPr>
          <w:p>
            <w:pPr>
              <w:spacing w:before="120" w:after="120" w:line="288" w:lineRule="auto"/>
              <w:ind w:left="0"/>
              <w:jc w:val="left"/>
            </w:pPr>
            <w:r>
              <w:rPr>
                <w:rFonts w:eastAsia="等线" w:ascii="Arial" w:cs="Arial" w:hAnsi="Arial"/>
                <w:sz w:val="22"/>
              </w:rPr>
              <w:t>过流保护，内置温度传感器</w:t>
            </w:r>
          </w:p>
        </w:tc>
      </w:tr>
      <w:tr>
        <w:tc>
          <w:tcPr>
            <w:tcW w:w="2235" w:type="dxa"/>
            <w:tcMar>
              <w:top w:type="dxa" w:w="60"/>
              <w:left w:type="dxa" w:w="120"/>
              <w:bottom w:type="dxa" w:w="30"/>
              <w:right w:type="dxa" w:w="120"/>
            </w:tcMar>
          </w:tcPr>
          <w:p>
            <w:pPr>
              <w:spacing w:before="120" w:after="120" w:line="288" w:lineRule="auto"/>
              <w:ind w:left="0"/>
              <w:jc w:val="left"/>
            </w:pPr>
            <w:r>
              <w:rPr>
                <w:rFonts w:eastAsia="等线" w:ascii="Arial" w:cs="Arial" w:hAnsi="Arial"/>
                <w:sz w:val="22"/>
              </w:rPr>
              <w:t>编码器</w:t>
            </w:r>
          </w:p>
        </w:tc>
        <w:tc>
          <w:tcPr>
            <w:tcW w:w="1350" w:type="dxa"/>
            <w:tcMar>
              <w:top w:type="dxa" w:w="60"/>
              <w:left w:type="dxa" w:w="120"/>
              <w:bottom w:type="dxa" w:w="30"/>
              <w:right w:type="dxa" w:w="120"/>
            </w:tcMar>
          </w:tcPr>
          <w:p>
            <w:pPr>
              <w:spacing w:before="120" w:after="120" w:line="288" w:lineRule="auto"/>
              <w:ind w:left="0"/>
              <w:jc w:val="left"/>
            </w:pPr>
            <w:r>
              <w:rPr>
                <w:rFonts w:eastAsia="等线" w:ascii="Arial" w:cs="Arial" w:hAnsi="Arial"/>
                <w:sz w:val="22"/>
              </w:rPr>
              <w:t>—</w:t>
            </w:r>
          </w:p>
        </w:tc>
        <w:tc>
          <w:tcPr>
            <w:tcW w:w="4695" w:type="dxa"/>
            <w:tcMar>
              <w:top w:type="dxa" w:w="60"/>
              <w:left w:type="dxa" w:w="120"/>
              <w:bottom w:type="dxa" w:w="30"/>
              <w:right w:type="dxa" w:w="120"/>
            </w:tcMar>
          </w:tcPr>
          <w:p>
            <w:pPr>
              <w:spacing w:before="120" w:after="120" w:line="288" w:lineRule="auto"/>
              <w:ind w:left="0"/>
              <w:jc w:val="left"/>
            </w:pPr>
            <w:r>
              <w:rPr>
                <w:rFonts w:eastAsia="等线" w:ascii="Arial" w:cs="Arial" w:hAnsi="Arial"/>
                <w:sz w:val="22"/>
              </w:rPr>
              <w:t>0.00001 度</w:t>
            </w:r>
          </w:p>
        </w:tc>
      </w:tr>
      <w:tr>
        <w:tc>
          <w:tcPr>
            <w:tcW w:w="2235" w:type="dxa"/>
            <w:tcMar>
              <w:top w:type="dxa" w:w="60"/>
              <w:left w:type="dxa" w:w="120"/>
              <w:bottom w:type="dxa" w:w="30"/>
              <w:right w:type="dxa" w:w="120"/>
            </w:tcMar>
          </w:tcPr>
          <w:p>
            <w:pPr>
              <w:spacing w:before="120" w:after="120" w:line="288" w:lineRule="auto"/>
              <w:ind w:left="0"/>
              <w:jc w:val="left"/>
            </w:pPr>
            <w:r>
              <w:rPr>
                <w:rFonts w:eastAsia="等线" w:ascii="Arial" w:cs="Arial" w:hAnsi="Arial"/>
                <w:sz w:val="22"/>
              </w:rPr>
              <w:t>最大加工外径</w:t>
            </w:r>
          </w:p>
        </w:tc>
        <w:tc>
          <w:tcPr>
            <w:tcW w:w="1350" w:type="dxa"/>
            <w:tcMar>
              <w:top w:type="dxa" w:w="60"/>
              <w:left w:type="dxa" w:w="120"/>
              <w:bottom w:type="dxa" w:w="30"/>
              <w:right w:type="dxa" w:w="120"/>
            </w:tcMar>
          </w:tcPr>
          <w:p>
            <w:pPr>
              <w:spacing w:before="120" w:after="120" w:line="288" w:lineRule="auto"/>
              <w:ind w:left="0"/>
              <w:jc w:val="left"/>
            </w:pPr>
            <w:r>
              <w:rPr>
                <w:rFonts w:eastAsia="等线" w:ascii="Arial" w:cs="Arial" w:hAnsi="Arial"/>
                <w:sz w:val="22"/>
              </w:rPr>
              <w:t>mm</w:t>
            </w:r>
          </w:p>
        </w:tc>
        <w:tc>
          <w:tcPr>
            <w:tcW w:w="4695" w:type="dxa"/>
            <w:tcMar>
              <w:top w:type="dxa" w:w="60"/>
              <w:left w:type="dxa" w:w="120"/>
              <w:bottom w:type="dxa" w:w="30"/>
              <w:right w:type="dxa" w:w="120"/>
            </w:tcMar>
          </w:tcPr>
          <w:p>
            <w:pPr>
              <w:spacing w:before="120" w:after="120" w:line="288" w:lineRule="auto"/>
              <w:ind w:left="0"/>
              <w:jc w:val="left"/>
            </w:pPr>
            <w:r>
              <w:rPr>
                <w:rFonts w:eastAsia="等线" w:ascii="Arial" w:cs="Arial" w:hAnsi="Arial"/>
                <w:sz w:val="22"/>
              </w:rPr>
              <w:t>600</w:t>
            </w:r>
          </w:p>
        </w:tc>
      </w:tr>
      <w:tr>
        <w:tc>
          <w:tcPr>
            <w:tcW w:w="2235" w:type="dxa"/>
            <w:tcMar>
              <w:top w:type="dxa" w:w="60"/>
              <w:left w:type="dxa" w:w="120"/>
              <w:bottom w:type="dxa" w:w="30"/>
              <w:right w:type="dxa" w:w="120"/>
            </w:tcMar>
          </w:tcPr>
          <w:p>
            <w:pPr>
              <w:spacing w:before="120" w:after="120" w:line="288" w:lineRule="auto"/>
              <w:ind w:left="0"/>
              <w:jc w:val="left"/>
            </w:pPr>
            <w:r>
              <w:rPr>
                <w:rFonts w:eastAsia="等线" w:ascii="Arial" w:cs="Arial" w:hAnsi="Arial"/>
                <w:sz w:val="22"/>
              </w:rPr>
              <w:t>主轴回转精度</w:t>
            </w:r>
          </w:p>
        </w:tc>
        <w:tc>
          <w:tcPr>
            <w:tcW w:w="1350" w:type="dxa"/>
            <w:tcMar>
              <w:top w:type="dxa" w:w="60"/>
              <w:left w:type="dxa" w:w="120"/>
              <w:bottom w:type="dxa" w:w="30"/>
              <w:right w:type="dxa" w:w="120"/>
            </w:tcMar>
          </w:tcPr>
          <w:p>
            <w:pPr>
              <w:spacing w:before="120" w:after="120" w:line="288" w:lineRule="auto"/>
              <w:ind w:left="0"/>
              <w:jc w:val="left"/>
            </w:pPr>
            <w:r>
              <w:rPr>
                <w:rFonts w:eastAsia="等线" w:ascii="Arial" w:cs="Arial" w:hAnsi="Arial"/>
                <w:sz w:val="22"/>
              </w:rPr>
              <w:t>nm</w:t>
            </w:r>
          </w:p>
        </w:tc>
        <w:tc>
          <w:tcPr>
            <w:tcW w:w="4695" w:type="dxa"/>
            <w:tcMar>
              <w:top w:type="dxa" w:w="60"/>
              <w:left w:type="dxa" w:w="120"/>
              <w:bottom w:type="dxa" w:w="30"/>
              <w:right w:type="dxa" w:w="120"/>
            </w:tcMar>
          </w:tcPr>
          <w:p>
            <w:pPr>
              <w:spacing w:before="120" w:after="120" w:line="288" w:lineRule="auto"/>
              <w:ind w:left="0"/>
              <w:jc w:val="left"/>
            </w:pPr>
            <w:r>
              <w:rPr>
                <w:rFonts w:eastAsia="等线" w:ascii="Arial" w:cs="Arial" w:hAnsi="Arial"/>
                <w:sz w:val="22"/>
              </w:rPr>
              <w:t>30~50</w:t>
            </w:r>
          </w:p>
        </w:tc>
      </w:tr>
      <w:tr>
        <w:tc>
          <w:tcPr>
            <w:tcW w:w="2235" w:type="dxa"/>
            <w:tcMar>
              <w:top w:type="dxa" w:w="60"/>
              <w:left w:type="dxa" w:w="120"/>
              <w:bottom w:type="dxa" w:w="30"/>
              <w:right w:type="dxa" w:w="120"/>
            </w:tcMar>
          </w:tcPr>
          <w:p>
            <w:pPr>
              <w:spacing w:before="120" w:after="120" w:line="288" w:lineRule="auto"/>
              <w:ind w:left="0"/>
              <w:jc w:val="left"/>
            </w:pPr>
            <w:r>
              <w:rPr>
                <w:rFonts w:eastAsia="等线" w:ascii="Arial" w:cs="Arial" w:hAnsi="Arial"/>
                <w:sz w:val="22"/>
              </w:rPr>
              <w:t>最大供给气压</w:t>
            </w:r>
          </w:p>
        </w:tc>
        <w:tc>
          <w:tcPr>
            <w:tcW w:w="1350" w:type="dxa"/>
            <w:tcMar>
              <w:top w:type="dxa" w:w="60"/>
              <w:left w:type="dxa" w:w="120"/>
              <w:bottom w:type="dxa" w:w="30"/>
              <w:right w:type="dxa" w:w="120"/>
            </w:tcMar>
          </w:tcPr>
          <w:p>
            <w:pPr>
              <w:spacing w:before="120" w:after="120" w:line="288" w:lineRule="auto"/>
              <w:ind w:left="0"/>
              <w:jc w:val="left"/>
            </w:pPr>
            <w:r>
              <w:rPr>
                <w:rFonts w:eastAsia="等线" w:ascii="Arial" w:cs="Arial" w:hAnsi="Arial"/>
                <w:sz w:val="22"/>
              </w:rPr>
              <w:t>Kg/cm2</w:t>
            </w:r>
          </w:p>
        </w:tc>
        <w:tc>
          <w:tcPr>
            <w:tcW w:w="4695" w:type="dxa"/>
            <w:tcMar>
              <w:top w:type="dxa" w:w="60"/>
              <w:left w:type="dxa" w:w="120"/>
              <w:bottom w:type="dxa" w:w="30"/>
              <w:right w:type="dxa" w:w="120"/>
            </w:tcMar>
          </w:tcPr>
          <w:p>
            <w:pPr>
              <w:spacing w:before="120" w:after="120" w:line="288" w:lineRule="auto"/>
              <w:ind w:left="0"/>
              <w:jc w:val="left"/>
            </w:pPr>
            <w:r>
              <w:rPr>
                <w:rFonts w:eastAsia="等线" w:ascii="Arial" w:cs="Arial" w:hAnsi="Arial"/>
                <w:sz w:val="22"/>
              </w:rPr>
              <w:t>8</w:t>
            </w:r>
          </w:p>
        </w:tc>
      </w:tr>
      <w:tr>
        <w:tc>
          <w:tcPr>
            <w:tcW w:w="2235" w:type="dxa"/>
            <w:tcMar>
              <w:top w:type="dxa" w:w="60"/>
              <w:left w:type="dxa" w:w="120"/>
              <w:bottom w:type="dxa" w:w="30"/>
              <w:right w:type="dxa" w:w="120"/>
            </w:tcMar>
          </w:tcPr>
          <w:p>
            <w:pPr>
              <w:spacing w:before="120" w:after="120" w:line="288" w:lineRule="auto"/>
              <w:ind w:left="0"/>
              <w:jc w:val="left"/>
            </w:pPr>
            <w:r>
              <w:rPr>
                <w:rFonts w:eastAsia="等线" w:ascii="Arial" w:cs="Arial" w:hAnsi="Arial"/>
                <w:sz w:val="22"/>
              </w:rPr>
              <w:t>空气消耗流量</w:t>
            </w:r>
          </w:p>
        </w:tc>
        <w:tc>
          <w:tcPr>
            <w:tcW w:w="1350" w:type="dxa"/>
            <w:tcMar>
              <w:top w:type="dxa" w:w="60"/>
              <w:left w:type="dxa" w:w="120"/>
              <w:bottom w:type="dxa" w:w="30"/>
              <w:right w:type="dxa" w:w="120"/>
            </w:tcMar>
          </w:tcPr>
          <w:p>
            <w:pPr>
              <w:spacing w:before="120" w:after="120" w:line="288" w:lineRule="auto"/>
              <w:ind w:left="0"/>
              <w:jc w:val="left"/>
            </w:pPr>
            <w:r>
              <w:rPr>
                <w:rFonts w:eastAsia="等线" w:ascii="Arial" w:cs="Arial" w:hAnsi="Arial"/>
                <w:sz w:val="22"/>
              </w:rPr>
              <w:t>L/min</w:t>
            </w:r>
          </w:p>
        </w:tc>
        <w:tc>
          <w:tcPr>
            <w:tcW w:w="4695" w:type="dxa"/>
            <w:tcMar>
              <w:top w:type="dxa" w:w="60"/>
              <w:left w:type="dxa" w:w="120"/>
              <w:bottom w:type="dxa" w:w="30"/>
              <w:right w:type="dxa" w:w="120"/>
            </w:tcMar>
          </w:tcPr>
          <w:p>
            <w:pPr>
              <w:spacing w:before="120" w:after="120" w:line="288" w:lineRule="auto"/>
              <w:ind w:left="0"/>
              <w:jc w:val="left"/>
            </w:pPr>
            <w:r>
              <w:rPr>
                <w:rFonts w:eastAsia="等线" w:ascii="Arial" w:cs="Arial" w:hAnsi="Arial"/>
                <w:sz w:val="22"/>
              </w:rPr>
              <w:t>50~70</w:t>
            </w:r>
          </w:p>
        </w:tc>
      </w:tr>
      <w:tr>
        <w:tc>
          <w:tcPr>
            <w:tcW w:w="2235" w:type="dxa"/>
            <w:tcMar>
              <w:top w:type="dxa" w:w="60"/>
              <w:left w:type="dxa" w:w="120"/>
              <w:bottom w:type="dxa" w:w="30"/>
              <w:right w:type="dxa" w:w="120"/>
            </w:tcMar>
          </w:tcPr>
          <w:p>
            <w:pPr>
              <w:spacing w:before="120" w:after="120" w:line="288" w:lineRule="auto"/>
              <w:ind w:left="0"/>
              <w:jc w:val="left"/>
            </w:pPr>
            <w:r>
              <w:rPr>
                <w:rFonts w:eastAsia="等线" w:ascii="Arial" w:cs="Arial" w:hAnsi="Arial"/>
                <w:b w:val="true"/>
                <w:sz w:val="22"/>
              </w:rPr>
              <w:t>进给、分辨率</w:t>
            </w:r>
          </w:p>
        </w:tc>
        <w:tc>
          <w:tcPr>
            <w:tcW w:w="1350" w:type="dxa"/>
            <w:tcMar>
              <w:top w:type="dxa" w:w="60"/>
              <w:left w:type="dxa" w:w="120"/>
              <w:bottom w:type="dxa" w:w="30"/>
              <w:right w:type="dxa" w:w="120"/>
            </w:tcMar>
          </w:tcPr>
          <w:p>
            <w:pPr>
              <w:spacing w:before="120" w:after="120" w:line="288" w:lineRule="auto"/>
              <w:ind w:left="0"/>
              <w:jc w:val="left"/>
            </w:pPr>
            <w:r>
              <w:rPr>
                <w:rFonts w:eastAsia="等线" w:ascii="Arial" w:cs="Arial" w:hAnsi="Arial"/>
                <w:sz w:val="22"/>
              </w:rPr>
              <w:t>—</w:t>
            </w:r>
          </w:p>
        </w:tc>
        <w:tc>
          <w:tcPr>
            <w:tcW w:w="4695" w:type="dxa"/>
            <w:tcMar>
              <w:top w:type="dxa" w:w="60"/>
              <w:left w:type="dxa" w:w="120"/>
              <w:bottom w:type="dxa" w:w="30"/>
              <w:right w:type="dxa" w:w="120"/>
            </w:tcMar>
          </w:tcPr>
          <w:p>
            <w:pPr>
              <w:spacing w:before="120" w:after="120" w:line="288" w:lineRule="auto"/>
              <w:ind w:left="0"/>
              <w:jc w:val="left"/>
            </w:pPr>
            <w:r>
              <w:rPr>
                <w:rFonts w:eastAsia="等线" w:ascii="Arial" w:cs="Arial" w:hAnsi="Arial"/>
                <w:sz w:val="22"/>
              </w:rPr>
              <w:t>—</w:t>
            </w:r>
          </w:p>
        </w:tc>
      </w:tr>
      <w:tr>
        <w:tc>
          <w:tcPr>
            <w:tcW w:w="2235" w:type="dxa"/>
            <w:tcMar>
              <w:top w:type="dxa" w:w="60"/>
              <w:left w:type="dxa" w:w="120"/>
              <w:bottom w:type="dxa" w:w="30"/>
              <w:right w:type="dxa" w:w="120"/>
            </w:tcMar>
          </w:tcPr>
          <w:p>
            <w:pPr>
              <w:spacing w:before="120" w:after="120" w:line="288" w:lineRule="auto"/>
              <w:ind w:left="0"/>
              <w:jc w:val="left"/>
            </w:pPr>
            <w:r>
              <w:rPr>
                <w:rFonts w:eastAsia="等线" w:ascii="Arial" w:cs="Arial" w:hAnsi="Arial"/>
                <w:sz w:val="22"/>
              </w:rPr>
              <w:t>重复定位精度</w:t>
            </w:r>
          </w:p>
        </w:tc>
        <w:tc>
          <w:tcPr>
            <w:tcW w:w="1350" w:type="dxa"/>
            <w:tcMar>
              <w:top w:type="dxa" w:w="60"/>
              <w:left w:type="dxa" w:w="120"/>
              <w:bottom w:type="dxa" w:w="30"/>
              <w:right w:type="dxa" w:w="120"/>
            </w:tcMar>
          </w:tcPr>
          <w:p>
            <w:pPr>
              <w:spacing w:before="120" w:after="120" w:line="288" w:lineRule="auto"/>
              <w:ind w:left="0"/>
              <w:jc w:val="left"/>
            </w:pPr>
            <w:r>
              <w:rPr>
                <w:rFonts w:eastAsia="等线" w:ascii="Arial" w:cs="Arial" w:hAnsi="Arial"/>
                <w:sz w:val="22"/>
              </w:rPr>
              <w:t>mm</w:t>
            </w:r>
          </w:p>
        </w:tc>
        <w:tc>
          <w:tcPr>
            <w:tcW w:w="4695" w:type="dxa"/>
            <w:tcMar>
              <w:top w:type="dxa" w:w="60"/>
              <w:left w:type="dxa" w:w="120"/>
              <w:bottom w:type="dxa" w:w="30"/>
              <w:right w:type="dxa" w:w="120"/>
            </w:tcMar>
          </w:tcPr>
          <w:p>
            <w:pPr>
              <w:spacing w:before="120" w:after="120" w:line="288" w:lineRule="auto"/>
              <w:ind w:left="0"/>
              <w:jc w:val="left"/>
            </w:pPr>
            <w:r>
              <w:rPr>
                <w:rFonts w:eastAsia="等线" w:ascii="Arial" w:cs="Arial" w:hAnsi="Arial"/>
                <w:sz w:val="22"/>
              </w:rPr>
              <w:t>±0.4um/2000mm</w:t>
            </w:r>
          </w:p>
        </w:tc>
      </w:tr>
      <w:tr>
        <w:tc>
          <w:tcPr>
            <w:tcW w:w="2235" w:type="dxa"/>
            <w:tcMar>
              <w:top w:type="dxa" w:w="60"/>
              <w:left w:type="dxa" w:w="120"/>
              <w:bottom w:type="dxa" w:w="30"/>
              <w:right w:type="dxa" w:w="120"/>
            </w:tcMar>
          </w:tcPr>
          <w:p>
            <w:pPr>
              <w:spacing w:before="120" w:after="120" w:line="288" w:lineRule="auto"/>
              <w:ind w:left="0"/>
              <w:jc w:val="left"/>
            </w:pPr>
            <w:r>
              <w:rPr>
                <w:rFonts w:eastAsia="等线" w:ascii="Arial" w:cs="Arial" w:hAnsi="Arial"/>
                <w:sz w:val="22"/>
              </w:rPr>
              <w:t>定位精度</w:t>
            </w:r>
          </w:p>
        </w:tc>
        <w:tc>
          <w:tcPr>
            <w:tcW w:w="1350" w:type="dxa"/>
            <w:tcMar>
              <w:top w:type="dxa" w:w="60"/>
              <w:left w:type="dxa" w:w="120"/>
              <w:bottom w:type="dxa" w:w="30"/>
              <w:right w:type="dxa" w:w="120"/>
            </w:tcMar>
          </w:tcPr>
          <w:p>
            <w:pPr>
              <w:spacing w:before="120" w:after="120" w:line="288" w:lineRule="auto"/>
              <w:ind w:left="0"/>
              <w:jc w:val="left"/>
            </w:pPr>
            <w:r>
              <w:rPr>
                <w:rFonts w:eastAsia="等线" w:ascii="Arial" w:cs="Arial" w:hAnsi="Arial"/>
                <w:sz w:val="22"/>
              </w:rPr>
              <w:t>mm</w:t>
            </w:r>
          </w:p>
        </w:tc>
        <w:tc>
          <w:tcPr>
            <w:tcW w:w="4695" w:type="dxa"/>
            <w:tcMar>
              <w:top w:type="dxa" w:w="60"/>
              <w:left w:type="dxa" w:w="120"/>
              <w:bottom w:type="dxa" w:w="30"/>
              <w:right w:type="dxa" w:w="120"/>
            </w:tcMar>
          </w:tcPr>
          <w:p>
            <w:pPr>
              <w:spacing w:before="120" w:after="120" w:line="288" w:lineRule="auto"/>
              <w:ind w:left="0"/>
              <w:jc w:val="left"/>
            </w:pPr>
            <w:r>
              <w:rPr>
                <w:rFonts w:eastAsia="等线" w:ascii="Arial" w:cs="Arial" w:hAnsi="Arial"/>
                <w:sz w:val="22"/>
              </w:rPr>
              <w:t>X 轴±0.5um/300mm Z 轴±2.0um/2000mm</w:t>
            </w:r>
          </w:p>
        </w:tc>
      </w:tr>
      <w:tr>
        <w:tc>
          <w:tcPr>
            <w:tcW w:w="2235" w:type="dxa"/>
            <w:tcMar>
              <w:top w:type="dxa" w:w="60"/>
              <w:left w:type="dxa" w:w="120"/>
              <w:bottom w:type="dxa" w:w="30"/>
              <w:right w:type="dxa" w:w="120"/>
            </w:tcMar>
          </w:tcPr>
          <w:p>
            <w:pPr>
              <w:spacing w:before="120" w:after="120" w:line="288" w:lineRule="auto"/>
              <w:ind w:left="0"/>
              <w:jc w:val="left"/>
            </w:pPr>
            <w:r>
              <w:rPr>
                <w:rFonts w:eastAsia="等线" w:ascii="Arial" w:cs="Arial" w:hAnsi="Arial"/>
                <w:sz w:val="22"/>
              </w:rPr>
              <w:t>X轴快速进给</w:t>
            </w:r>
          </w:p>
        </w:tc>
        <w:tc>
          <w:tcPr>
            <w:tcW w:w="1350" w:type="dxa"/>
            <w:tcMar>
              <w:top w:type="dxa" w:w="60"/>
              <w:left w:type="dxa" w:w="120"/>
              <w:bottom w:type="dxa" w:w="30"/>
              <w:right w:type="dxa" w:w="120"/>
            </w:tcMar>
          </w:tcPr>
          <w:p>
            <w:pPr>
              <w:spacing w:before="120" w:after="120" w:line="288" w:lineRule="auto"/>
              <w:ind w:left="0"/>
              <w:jc w:val="left"/>
            </w:pPr>
            <w:r>
              <w:rPr>
                <w:rFonts w:eastAsia="等线" w:ascii="Arial" w:cs="Arial" w:hAnsi="Arial"/>
                <w:sz w:val="22"/>
              </w:rPr>
              <w:t>mm/min</w:t>
            </w:r>
          </w:p>
        </w:tc>
        <w:tc>
          <w:tcPr>
            <w:tcW w:w="4695" w:type="dxa"/>
            <w:tcMar>
              <w:top w:type="dxa" w:w="60"/>
              <w:left w:type="dxa" w:w="120"/>
              <w:bottom w:type="dxa" w:w="30"/>
              <w:right w:type="dxa" w:w="120"/>
            </w:tcMar>
          </w:tcPr>
          <w:p>
            <w:pPr>
              <w:spacing w:before="120" w:after="120" w:line="288" w:lineRule="auto"/>
              <w:ind w:left="0"/>
              <w:jc w:val="left"/>
            </w:pPr>
            <w:r>
              <w:rPr>
                <w:rFonts w:eastAsia="等线" w:ascii="Arial" w:cs="Arial" w:hAnsi="Arial"/>
                <w:sz w:val="22"/>
              </w:rPr>
              <w:t>30</w:t>
            </w:r>
          </w:p>
        </w:tc>
      </w:tr>
      <w:tr>
        <w:tc>
          <w:tcPr>
            <w:tcW w:w="2235" w:type="dxa"/>
            <w:tcMar>
              <w:top w:type="dxa" w:w="60"/>
              <w:left w:type="dxa" w:w="120"/>
              <w:bottom w:type="dxa" w:w="30"/>
              <w:right w:type="dxa" w:w="120"/>
            </w:tcMar>
          </w:tcPr>
          <w:p>
            <w:pPr>
              <w:spacing w:before="120" w:after="120" w:line="288" w:lineRule="auto"/>
              <w:ind w:left="0"/>
              <w:jc w:val="left"/>
            </w:pPr>
            <w:r>
              <w:rPr>
                <w:rFonts w:eastAsia="等线" w:ascii="Arial" w:cs="Arial" w:hAnsi="Arial"/>
                <w:sz w:val="22"/>
              </w:rPr>
              <w:t>B轴快速进给</w:t>
            </w:r>
          </w:p>
        </w:tc>
        <w:tc>
          <w:tcPr>
            <w:tcW w:w="1350" w:type="dxa"/>
            <w:tcMar>
              <w:top w:type="dxa" w:w="60"/>
              <w:left w:type="dxa" w:w="120"/>
              <w:bottom w:type="dxa" w:w="30"/>
              <w:right w:type="dxa" w:w="120"/>
            </w:tcMar>
          </w:tcPr>
          <w:p>
            <w:pPr>
              <w:spacing w:before="120" w:after="120" w:line="288" w:lineRule="auto"/>
              <w:ind w:left="0"/>
              <w:jc w:val="left"/>
            </w:pPr>
            <w:r>
              <w:rPr>
                <w:rFonts w:eastAsia="等线" w:ascii="Arial" w:cs="Arial" w:hAnsi="Arial"/>
                <w:sz w:val="22"/>
              </w:rPr>
              <w:t>deg/min</w:t>
            </w:r>
          </w:p>
        </w:tc>
        <w:tc>
          <w:tcPr>
            <w:tcW w:w="4695" w:type="dxa"/>
            <w:tcMar>
              <w:top w:type="dxa" w:w="60"/>
              <w:left w:type="dxa" w:w="120"/>
              <w:bottom w:type="dxa" w:w="30"/>
              <w:right w:type="dxa" w:w="120"/>
            </w:tcMar>
          </w:tcPr>
          <w:p>
            <w:pPr>
              <w:spacing w:before="120" w:after="120" w:line="288" w:lineRule="auto"/>
              <w:ind w:left="0"/>
              <w:jc w:val="left"/>
            </w:pPr>
            <w:r>
              <w:rPr>
                <w:rFonts w:eastAsia="等线" w:ascii="Arial" w:cs="Arial" w:hAnsi="Arial"/>
                <w:sz w:val="22"/>
              </w:rPr>
              <w:t>1° ~360°</w:t>
            </w:r>
          </w:p>
        </w:tc>
      </w:tr>
      <w:tr>
        <w:tc>
          <w:tcPr>
            <w:tcW w:w="2235" w:type="dxa"/>
            <w:tcMar>
              <w:top w:type="dxa" w:w="60"/>
              <w:left w:type="dxa" w:w="120"/>
              <w:bottom w:type="dxa" w:w="30"/>
              <w:right w:type="dxa" w:w="120"/>
            </w:tcMar>
          </w:tcPr>
          <w:p>
            <w:pPr>
              <w:spacing w:before="120" w:after="120" w:line="288" w:lineRule="auto"/>
              <w:ind w:left="0"/>
              <w:jc w:val="left"/>
            </w:pPr>
            <w:r>
              <w:rPr>
                <w:rFonts w:eastAsia="等线" w:ascii="Arial" w:cs="Arial" w:hAnsi="Arial"/>
                <w:sz w:val="22"/>
              </w:rPr>
              <w:t>Z轴快速进给</w:t>
            </w:r>
          </w:p>
        </w:tc>
        <w:tc>
          <w:tcPr>
            <w:tcW w:w="1350" w:type="dxa"/>
            <w:tcMar>
              <w:top w:type="dxa" w:w="60"/>
              <w:left w:type="dxa" w:w="120"/>
              <w:bottom w:type="dxa" w:w="30"/>
              <w:right w:type="dxa" w:w="120"/>
            </w:tcMar>
          </w:tcPr>
          <w:p>
            <w:pPr>
              <w:spacing w:before="120" w:after="120" w:line="288" w:lineRule="auto"/>
              <w:ind w:left="0"/>
              <w:jc w:val="left"/>
            </w:pPr>
            <w:r>
              <w:rPr>
                <w:rFonts w:eastAsia="等线" w:ascii="Arial" w:cs="Arial" w:hAnsi="Arial"/>
                <w:sz w:val="22"/>
              </w:rPr>
              <w:t>mm/min</w:t>
            </w:r>
          </w:p>
        </w:tc>
        <w:tc>
          <w:tcPr>
            <w:tcW w:w="4695" w:type="dxa"/>
            <w:tcMar>
              <w:top w:type="dxa" w:w="60"/>
              <w:left w:type="dxa" w:w="120"/>
              <w:bottom w:type="dxa" w:w="30"/>
              <w:right w:type="dxa" w:w="120"/>
            </w:tcMar>
          </w:tcPr>
          <w:p>
            <w:pPr>
              <w:spacing w:before="120" w:after="120" w:line="288" w:lineRule="auto"/>
              <w:ind w:left="0"/>
              <w:jc w:val="left"/>
            </w:pPr>
            <w:r>
              <w:rPr>
                <w:rFonts w:eastAsia="等线" w:ascii="Arial" w:cs="Arial" w:hAnsi="Arial"/>
                <w:sz w:val="22"/>
              </w:rPr>
              <w:t>30</w:t>
            </w:r>
          </w:p>
        </w:tc>
      </w:tr>
      <w:tr>
        <w:tc>
          <w:tcPr>
            <w:tcW w:w="2235" w:type="dxa"/>
            <w:tcMar>
              <w:top w:type="dxa" w:w="60"/>
              <w:left w:type="dxa" w:w="120"/>
              <w:bottom w:type="dxa" w:w="30"/>
              <w:right w:type="dxa" w:w="120"/>
            </w:tcMar>
          </w:tcPr>
          <w:p>
            <w:pPr>
              <w:spacing w:before="120" w:after="120" w:line="288" w:lineRule="auto"/>
              <w:ind w:left="0"/>
              <w:jc w:val="left"/>
            </w:pPr>
            <w:r>
              <w:rPr>
                <w:rFonts w:eastAsia="等线" w:ascii="Arial" w:cs="Arial" w:hAnsi="Arial"/>
                <w:sz w:val="22"/>
              </w:rPr>
              <w:t>X轴分辨率</w:t>
            </w:r>
          </w:p>
        </w:tc>
        <w:tc>
          <w:tcPr>
            <w:tcW w:w="1350" w:type="dxa"/>
            <w:tcMar>
              <w:top w:type="dxa" w:w="60"/>
              <w:left w:type="dxa" w:w="120"/>
              <w:bottom w:type="dxa" w:w="30"/>
              <w:right w:type="dxa" w:w="120"/>
            </w:tcMar>
          </w:tcPr>
          <w:p>
            <w:pPr>
              <w:spacing w:before="120" w:after="120" w:line="288" w:lineRule="auto"/>
              <w:ind w:left="0"/>
              <w:jc w:val="left"/>
            </w:pPr>
            <w:r>
              <w:rPr>
                <w:rFonts w:eastAsia="等线" w:ascii="Arial" w:cs="Arial" w:hAnsi="Arial"/>
                <w:sz w:val="22"/>
              </w:rPr>
              <w:t>mm</w:t>
            </w:r>
          </w:p>
        </w:tc>
        <w:tc>
          <w:tcPr>
            <w:tcW w:w="4695" w:type="dxa"/>
            <w:tcMar>
              <w:top w:type="dxa" w:w="60"/>
              <w:left w:type="dxa" w:w="120"/>
              <w:bottom w:type="dxa" w:w="30"/>
              <w:right w:type="dxa" w:w="120"/>
            </w:tcMar>
          </w:tcPr>
          <w:p>
            <w:pPr>
              <w:spacing w:before="120" w:after="120" w:line="288" w:lineRule="auto"/>
              <w:ind w:left="0"/>
              <w:jc w:val="left"/>
            </w:pPr>
            <w:r>
              <w:rPr>
                <w:rFonts w:eastAsia="等线" w:ascii="Arial" w:cs="Arial" w:hAnsi="Arial"/>
                <w:sz w:val="22"/>
              </w:rPr>
              <w:t>0.025um</w:t>
            </w:r>
          </w:p>
        </w:tc>
      </w:tr>
      <w:tr>
        <w:tc>
          <w:tcPr>
            <w:tcW w:w="2235" w:type="dxa"/>
            <w:tcMar>
              <w:top w:type="dxa" w:w="60"/>
              <w:left w:type="dxa" w:w="120"/>
              <w:bottom w:type="dxa" w:w="30"/>
              <w:right w:type="dxa" w:w="120"/>
            </w:tcMar>
          </w:tcPr>
          <w:p>
            <w:pPr>
              <w:spacing w:before="120" w:after="120" w:line="288" w:lineRule="auto"/>
              <w:ind w:left="0"/>
              <w:jc w:val="left"/>
            </w:pPr>
            <w:r>
              <w:rPr>
                <w:rFonts w:eastAsia="等线" w:ascii="Arial" w:cs="Arial" w:hAnsi="Arial"/>
                <w:sz w:val="22"/>
              </w:rPr>
              <w:t>B轴分辨率</w:t>
            </w:r>
          </w:p>
        </w:tc>
        <w:tc>
          <w:tcPr>
            <w:tcW w:w="1350" w:type="dxa"/>
            <w:tcMar>
              <w:top w:type="dxa" w:w="60"/>
              <w:left w:type="dxa" w:w="120"/>
              <w:bottom w:type="dxa" w:w="30"/>
              <w:right w:type="dxa" w:w="120"/>
            </w:tcMar>
          </w:tcPr>
          <w:p>
            <w:pPr>
              <w:spacing w:before="120" w:after="120" w:line="288" w:lineRule="auto"/>
              <w:ind w:left="0"/>
              <w:jc w:val="left"/>
            </w:pPr>
            <w:r>
              <w:rPr>
                <w:rFonts w:eastAsia="等线" w:ascii="Arial" w:cs="Arial" w:hAnsi="Arial"/>
                <w:sz w:val="22"/>
              </w:rPr>
              <w:t>度</w:t>
            </w:r>
          </w:p>
        </w:tc>
        <w:tc>
          <w:tcPr>
            <w:tcW w:w="4695" w:type="dxa"/>
            <w:tcMar>
              <w:top w:type="dxa" w:w="60"/>
              <w:left w:type="dxa" w:w="120"/>
              <w:bottom w:type="dxa" w:w="30"/>
              <w:right w:type="dxa" w:w="120"/>
            </w:tcMar>
          </w:tcPr>
          <w:p>
            <w:pPr>
              <w:spacing w:before="120" w:after="120" w:line="288" w:lineRule="auto"/>
              <w:ind w:left="0"/>
              <w:jc w:val="left"/>
            </w:pPr>
            <w:r>
              <w:rPr>
                <w:rFonts w:eastAsia="等线" w:ascii="Arial" w:cs="Arial" w:hAnsi="Arial"/>
                <w:sz w:val="22"/>
              </w:rPr>
              <w:t>0.00001</w:t>
            </w:r>
          </w:p>
        </w:tc>
      </w:tr>
      <w:tr>
        <w:tc>
          <w:tcPr>
            <w:tcW w:w="2235" w:type="dxa"/>
            <w:tcMar>
              <w:top w:type="dxa" w:w="60"/>
              <w:left w:type="dxa" w:w="120"/>
              <w:bottom w:type="dxa" w:w="30"/>
              <w:right w:type="dxa" w:w="120"/>
            </w:tcMar>
          </w:tcPr>
          <w:p>
            <w:pPr>
              <w:spacing w:before="120" w:after="120" w:line="288" w:lineRule="auto"/>
              <w:ind w:left="0"/>
              <w:jc w:val="left"/>
            </w:pPr>
            <w:r>
              <w:rPr>
                <w:rFonts w:eastAsia="等线" w:ascii="Arial" w:cs="Arial" w:hAnsi="Arial"/>
                <w:sz w:val="22"/>
              </w:rPr>
              <w:t>Z轴分辨率</w:t>
            </w:r>
          </w:p>
        </w:tc>
        <w:tc>
          <w:tcPr>
            <w:tcW w:w="1350" w:type="dxa"/>
            <w:tcMar>
              <w:top w:type="dxa" w:w="60"/>
              <w:left w:type="dxa" w:w="120"/>
              <w:bottom w:type="dxa" w:w="30"/>
              <w:right w:type="dxa" w:w="120"/>
            </w:tcMar>
          </w:tcPr>
          <w:p>
            <w:pPr>
              <w:spacing w:before="120" w:after="120" w:line="288" w:lineRule="auto"/>
              <w:ind w:left="0"/>
              <w:jc w:val="left"/>
            </w:pPr>
            <w:r>
              <w:rPr>
                <w:rFonts w:eastAsia="等线" w:ascii="Arial" w:cs="Arial" w:hAnsi="Arial"/>
                <w:sz w:val="22"/>
              </w:rPr>
              <w:t>mm</w:t>
            </w:r>
          </w:p>
        </w:tc>
        <w:tc>
          <w:tcPr>
            <w:tcW w:w="4695" w:type="dxa"/>
            <w:tcMar>
              <w:top w:type="dxa" w:w="60"/>
              <w:left w:type="dxa" w:w="120"/>
              <w:bottom w:type="dxa" w:w="30"/>
              <w:right w:type="dxa" w:w="120"/>
            </w:tcMar>
          </w:tcPr>
          <w:p>
            <w:pPr>
              <w:spacing w:before="120" w:after="120" w:line="288" w:lineRule="auto"/>
              <w:ind w:left="0"/>
              <w:jc w:val="left"/>
            </w:pPr>
            <w:r>
              <w:rPr>
                <w:rFonts w:eastAsia="等线" w:ascii="Arial" w:cs="Arial" w:hAnsi="Arial"/>
                <w:sz w:val="22"/>
              </w:rPr>
              <w:t>0.005um</w:t>
            </w:r>
          </w:p>
        </w:tc>
      </w:tr>
      <w:tr>
        <w:tc>
          <w:tcPr>
            <w:tcW w:w="2235" w:type="dxa"/>
            <w:tcMar>
              <w:top w:type="dxa" w:w="60"/>
              <w:left w:type="dxa" w:w="120"/>
              <w:bottom w:type="dxa" w:w="30"/>
              <w:right w:type="dxa" w:w="120"/>
            </w:tcMar>
          </w:tcPr>
          <w:p>
            <w:pPr>
              <w:spacing w:before="120" w:after="120" w:line="288" w:lineRule="auto"/>
              <w:ind w:left="0"/>
              <w:jc w:val="left"/>
            </w:pPr>
            <w:r>
              <w:rPr>
                <w:rFonts w:eastAsia="等线" w:ascii="Arial" w:cs="Arial" w:hAnsi="Arial"/>
                <w:b w:val="true"/>
                <w:sz w:val="22"/>
              </w:rPr>
              <w:t>其它</w:t>
            </w:r>
          </w:p>
        </w:tc>
        <w:tc>
          <w:tcPr>
            <w:tcW w:w="1350" w:type="dxa"/>
            <w:tcMar>
              <w:top w:type="dxa" w:w="60"/>
              <w:left w:type="dxa" w:w="120"/>
              <w:bottom w:type="dxa" w:w="30"/>
              <w:right w:type="dxa" w:w="120"/>
            </w:tcMar>
          </w:tcPr>
          <w:p>
            <w:pPr>
              <w:spacing w:before="120" w:after="120" w:line="288" w:lineRule="auto"/>
              <w:ind w:left="0"/>
              <w:jc w:val="left"/>
            </w:pPr>
            <w:r>
              <w:rPr>
                <w:rFonts w:eastAsia="等线" w:ascii="Arial" w:cs="Arial" w:hAnsi="Arial"/>
                <w:sz w:val="22"/>
              </w:rPr>
              <w:t>—</w:t>
            </w:r>
          </w:p>
        </w:tc>
        <w:tc>
          <w:tcPr>
            <w:tcW w:w="4695" w:type="dxa"/>
            <w:tcMar>
              <w:top w:type="dxa" w:w="60"/>
              <w:left w:type="dxa" w:w="120"/>
              <w:bottom w:type="dxa" w:w="30"/>
              <w:right w:type="dxa" w:w="120"/>
            </w:tcMar>
          </w:tcPr>
          <w:p>
            <w:pPr>
              <w:spacing w:before="120" w:after="120" w:line="288" w:lineRule="auto"/>
              <w:ind w:left="0"/>
              <w:jc w:val="left"/>
            </w:pPr>
            <w:r>
              <w:rPr>
                <w:rFonts w:eastAsia="等线" w:ascii="Arial" w:cs="Arial" w:hAnsi="Arial"/>
                <w:sz w:val="22"/>
              </w:rPr>
              <w:t>—</w:t>
            </w:r>
          </w:p>
        </w:tc>
      </w:tr>
      <w:tr>
        <w:tc>
          <w:tcPr>
            <w:tcW w:w="2235" w:type="dxa"/>
            <w:tcMar>
              <w:top w:type="dxa" w:w="60"/>
              <w:left w:type="dxa" w:w="120"/>
              <w:bottom w:type="dxa" w:w="30"/>
              <w:right w:type="dxa" w:w="120"/>
            </w:tcMar>
          </w:tcPr>
          <w:p>
            <w:pPr>
              <w:spacing w:before="120" w:after="120" w:line="288" w:lineRule="auto"/>
              <w:ind w:left="0"/>
              <w:jc w:val="left"/>
            </w:pPr>
            <w:r>
              <w:rPr>
                <w:rFonts w:eastAsia="等线" w:ascii="Arial" w:cs="Arial" w:hAnsi="Arial"/>
                <w:sz w:val="22"/>
              </w:rPr>
              <w:t>压缩气处理系统</w:t>
            </w:r>
          </w:p>
        </w:tc>
        <w:tc>
          <w:tcPr>
            <w:tcW w:w="1350" w:type="dxa"/>
            <w:tcMar>
              <w:top w:type="dxa" w:w="60"/>
              <w:left w:type="dxa" w:w="120"/>
              <w:bottom w:type="dxa" w:w="30"/>
              <w:right w:type="dxa" w:w="120"/>
            </w:tcMar>
          </w:tcPr>
          <w:p>
            <w:pPr>
              <w:spacing w:before="120" w:after="120" w:line="288" w:lineRule="auto"/>
              <w:ind w:left="0"/>
              <w:jc w:val="left"/>
            </w:pPr>
            <w:r>
              <w:rPr>
                <w:rFonts w:eastAsia="等线" w:ascii="Arial" w:cs="Arial" w:hAnsi="Arial"/>
                <w:sz w:val="22"/>
              </w:rPr>
              <w:t>—</w:t>
            </w:r>
          </w:p>
        </w:tc>
        <w:tc>
          <w:tcPr>
            <w:tcW w:w="4695" w:type="dxa"/>
            <w:tcMar>
              <w:top w:type="dxa" w:w="60"/>
              <w:left w:type="dxa" w:w="120"/>
              <w:bottom w:type="dxa" w:w="30"/>
              <w:right w:type="dxa" w:w="120"/>
            </w:tcMar>
          </w:tcPr>
          <w:p>
            <w:pPr>
              <w:spacing w:before="120" w:after="120" w:line="288" w:lineRule="auto"/>
              <w:ind w:left="0"/>
              <w:jc w:val="left"/>
            </w:pPr>
            <w:r>
              <w:rPr>
                <w:rFonts w:eastAsia="等线" w:ascii="Arial" w:cs="Arial" w:hAnsi="Arial"/>
                <w:sz w:val="22"/>
              </w:rPr>
              <w:t>5um 三级过滤冷冻±2 ℃</w:t>
            </w:r>
          </w:p>
        </w:tc>
      </w:tr>
      <w:tr>
        <w:tc>
          <w:tcPr>
            <w:tcW w:w="2235" w:type="dxa"/>
            <w:tcMar>
              <w:top w:type="dxa" w:w="60"/>
              <w:left w:type="dxa" w:w="120"/>
              <w:bottom w:type="dxa" w:w="30"/>
              <w:right w:type="dxa" w:w="120"/>
            </w:tcMar>
          </w:tcPr>
          <w:p>
            <w:pPr>
              <w:spacing w:before="120" w:after="120" w:line="288" w:lineRule="auto"/>
              <w:ind w:left="0"/>
              <w:jc w:val="left"/>
            </w:pPr>
            <w:r>
              <w:rPr>
                <w:rFonts w:eastAsia="等线" w:ascii="Arial" w:cs="Arial" w:hAnsi="Arial"/>
                <w:sz w:val="22"/>
              </w:rPr>
              <w:t>机床总电源</w:t>
            </w:r>
          </w:p>
        </w:tc>
        <w:tc>
          <w:tcPr>
            <w:tcW w:w="1350" w:type="dxa"/>
            <w:tcMar>
              <w:top w:type="dxa" w:w="60"/>
              <w:left w:type="dxa" w:w="120"/>
              <w:bottom w:type="dxa" w:w="30"/>
              <w:right w:type="dxa" w:w="120"/>
            </w:tcMar>
          </w:tcPr>
          <w:p>
            <w:pPr>
              <w:spacing w:before="120" w:after="120" w:line="288" w:lineRule="auto"/>
              <w:ind w:left="0"/>
              <w:jc w:val="left"/>
            </w:pPr>
            <w:r>
              <w:rPr>
                <w:rFonts w:eastAsia="等线" w:ascii="Arial" w:cs="Arial" w:hAnsi="Arial"/>
                <w:sz w:val="22"/>
              </w:rPr>
              <w:t>V</w:t>
            </w:r>
          </w:p>
        </w:tc>
        <w:tc>
          <w:tcPr>
            <w:tcW w:w="4695" w:type="dxa"/>
            <w:tcMar>
              <w:top w:type="dxa" w:w="60"/>
              <w:left w:type="dxa" w:w="120"/>
              <w:bottom w:type="dxa" w:w="30"/>
              <w:right w:type="dxa" w:w="120"/>
            </w:tcMar>
          </w:tcPr>
          <w:p>
            <w:pPr>
              <w:spacing w:before="120" w:after="120" w:line="288" w:lineRule="auto"/>
              <w:ind w:left="0"/>
              <w:jc w:val="left"/>
            </w:pPr>
            <w:r>
              <w:rPr>
                <w:rFonts w:eastAsia="等线" w:ascii="Arial" w:cs="Arial" w:hAnsi="Arial"/>
                <w:sz w:val="22"/>
              </w:rPr>
              <w:t>三相 AC380 ±10%</w:t>
            </w:r>
          </w:p>
        </w:tc>
      </w:tr>
      <w:tr>
        <w:tc>
          <w:tcPr>
            <w:tcW w:w="2235" w:type="dxa"/>
            <w:tcMar>
              <w:top w:type="dxa" w:w="60"/>
              <w:left w:type="dxa" w:w="120"/>
              <w:bottom w:type="dxa" w:w="30"/>
              <w:right w:type="dxa" w:w="120"/>
            </w:tcMar>
          </w:tcPr>
          <w:p>
            <w:pPr>
              <w:spacing w:before="120" w:after="120" w:line="288" w:lineRule="auto"/>
              <w:ind w:left="0"/>
              <w:jc w:val="left"/>
            </w:pPr>
            <w:r>
              <w:rPr>
                <w:rFonts w:eastAsia="等线" w:ascii="Arial" w:cs="Arial" w:hAnsi="Arial"/>
                <w:sz w:val="22"/>
              </w:rPr>
              <w:t>机床总功率</w:t>
            </w:r>
          </w:p>
        </w:tc>
        <w:tc>
          <w:tcPr>
            <w:tcW w:w="1350" w:type="dxa"/>
            <w:tcMar>
              <w:top w:type="dxa" w:w="60"/>
              <w:left w:type="dxa" w:w="120"/>
              <w:bottom w:type="dxa" w:w="30"/>
              <w:right w:type="dxa" w:w="120"/>
            </w:tcMar>
          </w:tcPr>
          <w:p>
            <w:pPr>
              <w:spacing w:before="120" w:after="120" w:line="288" w:lineRule="auto"/>
              <w:ind w:left="0"/>
              <w:jc w:val="left"/>
            </w:pPr>
            <w:r>
              <w:rPr>
                <w:rFonts w:eastAsia="等线" w:ascii="Arial" w:cs="Arial" w:hAnsi="Arial"/>
                <w:sz w:val="22"/>
              </w:rPr>
              <w:t>KW</w:t>
            </w:r>
          </w:p>
        </w:tc>
        <w:tc>
          <w:tcPr>
            <w:tcW w:w="4695" w:type="dxa"/>
            <w:tcMar>
              <w:top w:type="dxa" w:w="60"/>
              <w:left w:type="dxa" w:w="120"/>
              <w:bottom w:type="dxa" w:w="30"/>
              <w:right w:type="dxa" w:w="120"/>
            </w:tcMar>
          </w:tcPr>
          <w:p>
            <w:pPr>
              <w:spacing w:before="120" w:after="120" w:line="288" w:lineRule="auto"/>
              <w:ind w:left="0"/>
              <w:jc w:val="left"/>
            </w:pPr>
            <w:r>
              <w:rPr>
                <w:rFonts w:eastAsia="等线" w:ascii="Arial" w:cs="Arial" w:hAnsi="Arial"/>
                <w:sz w:val="22"/>
              </w:rPr>
              <w:t>25kw</w:t>
            </w:r>
          </w:p>
        </w:tc>
      </w:tr>
      <w:tr>
        <w:tc>
          <w:tcPr>
            <w:tcW w:w="2235" w:type="dxa"/>
            <w:tcMar>
              <w:top w:type="dxa" w:w="60"/>
              <w:left w:type="dxa" w:w="120"/>
              <w:bottom w:type="dxa" w:w="30"/>
              <w:right w:type="dxa" w:w="120"/>
            </w:tcMar>
          </w:tcPr>
          <w:p>
            <w:pPr>
              <w:spacing w:before="120" w:after="120" w:line="288" w:lineRule="auto"/>
              <w:ind w:left="0"/>
              <w:jc w:val="left"/>
            </w:pPr>
            <w:r>
              <w:rPr>
                <w:rFonts w:eastAsia="等线" w:ascii="Arial" w:cs="Arial" w:hAnsi="Arial"/>
                <w:sz w:val="22"/>
              </w:rPr>
              <w:t>机床重量</w:t>
            </w:r>
          </w:p>
        </w:tc>
        <w:tc>
          <w:tcPr>
            <w:tcW w:w="1350" w:type="dxa"/>
            <w:tcMar>
              <w:top w:type="dxa" w:w="60"/>
              <w:left w:type="dxa" w:w="120"/>
              <w:bottom w:type="dxa" w:w="30"/>
              <w:right w:type="dxa" w:w="120"/>
            </w:tcMar>
          </w:tcPr>
          <w:p>
            <w:pPr>
              <w:spacing w:before="120" w:after="120" w:line="288" w:lineRule="auto"/>
              <w:ind w:left="0"/>
              <w:jc w:val="left"/>
            </w:pPr>
            <w:r>
              <w:rPr>
                <w:rFonts w:eastAsia="等线" w:ascii="Arial" w:cs="Arial" w:hAnsi="Arial"/>
                <w:sz w:val="22"/>
              </w:rPr>
              <w:t>T</w:t>
            </w:r>
          </w:p>
        </w:tc>
        <w:tc>
          <w:tcPr>
            <w:tcW w:w="4695" w:type="dxa"/>
            <w:tcMar>
              <w:top w:type="dxa" w:w="60"/>
              <w:left w:type="dxa" w:w="120"/>
              <w:bottom w:type="dxa" w:w="30"/>
              <w:right w:type="dxa" w:w="120"/>
            </w:tcMar>
          </w:tcPr>
          <w:p>
            <w:pPr>
              <w:spacing w:before="120" w:after="120" w:line="288" w:lineRule="auto"/>
              <w:ind w:left="0"/>
              <w:jc w:val="left"/>
            </w:pPr>
            <w:r>
              <w:rPr>
                <w:rFonts w:eastAsia="等线" w:ascii="Arial" w:cs="Arial" w:hAnsi="Arial"/>
                <w:sz w:val="22"/>
              </w:rPr>
              <w:t>12T</w:t>
            </w:r>
          </w:p>
        </w:tc>
      </w:tr>
      <w:tr>
        <w:tc>
          <w:tcPr>
            <w:tcW w:w="2235" w:type="dxa"/>
            <w:tcMar>
              <w:top w:type="dxa" w:w="60"/>
              <w:left w:type="dxa" w:w="120"/>
              <w:bottom w:type="dxa" w:w="30"/>
              <w:right w:type="dxa" w:w="120"/>
            </w:tcMar>
          </w:tcPr>
          <w:p>
            <w:pPr>
              <w:spacing w:before="120" w:after="120" w:line="288" w:lineRule="auto"/>
              <w:ind w:left="0"/>
              <w:jc w:val="left"/>
            </w:pPr>
            <w:r>
              <w:rPr>
                <w:rFonts w:eastAsia="等线" w:ascii="Arial" w:cs="Arial" w:hAnsi="Arial"/>
                <w:sz w:val="22"/>
              </w:rPr>
              <w:t>外观尺寸</w:t>
            </w:r>
          </w:p>
        </w:tc>
        <w:tc>
          <w:tcPr>
            <w:tcW w:w="1350" w:type="dxa"/>
            <w:tcMar>
              <w:top w:type="dxa" w:w="60"/>
              <w:left w:type="dxa" w:w="120"/>
              <w:bottom w:type="dxa" w:w="30"/>
              <w:right w:type="dxa" w:w="120"/>
            </w:tcMar>
          </w:tcPr>
          <w:p>
            <w:pPr>
              <w:spacing w:before="120" w:after="120" w:line="288" w:lineRule="auto"/>
              <w:ind w:left="0"/>
              <w:jc w:val="left"/>
            </w:pPr>
            <w:r>
              <w:rPr>
                <w:rFonts w:eastAsia="等线" w:ascii="Arial" w:cs="Arial" w:hAnsi="Arial"/>
                <w:sz w:val="22"/>
              </w:rPr>
              <w:t>mm</w:t>
            </w:r>
          </w:p>
        </w:tc>
        <w:tc>
          <w:tcPr>
            <w:tcW w:w="4695" w:type="dxa"/>
            <w:tcMar>
              <w:top w:type="dxa" w:w="60"/>
              <w:left w:type="dxa" w:w="120"/>
              <w:bottom w:type="dxa" w:w="30"/>
              <w:right w:type="dxa" w:w="120"/>
            </w:tcMar>
          </w:tcPr>
          <w:p>
            <w:pPr>
              <w:spacing w:before="120" w:after="120" w:line="288" w:lineRule="auto"/>
              <w:ind w:left="0"/>
              <w:jc w:val="left"/>
            </w:pPr>
            <w:r>
              <w:rPr>
                <w:rFonts w:eastAsia="等线" w:ascii="Arial" w:cs="Arial" w:hAnsi="Arial"/>
                <w:sz w:val="22"/>
              </w:rPr>
              <w:t>5500×800×600</w:t>
            </w:r>
          </w:p>
        </w:tc>
      </w:tr>
      <w:tr>
        <w:tc>
          <w:tcPr>
            <w:tcW w:w="2235" w:type="dxa"/>
            <w:tcMar>
              <w:top w:type="dxa" w:w="60"/>
              <w:left w:type="dxa" w:w="120"/>
              <w:bottom w:type="dxa" w:w="30"/>
              <w:right w:type="dxa" w:w="120"/>
            </w:tcMar>
          </w:tcPr>
          <w:p>
            <w:pPr>
              <w:spacing w:before="120" w:after="120" w:line="288" w:lineRule="auto"/>
              <w:ind w:left="0"/>
              <w:jc w:val="left"/>
            </w:pPr>
            <w:r>
              <w:rPr>
                <w:rFonts w:eastAsia="等线" w:ascii="Arial" w:cs="Arial" w:hAnsi="Arial"/>
                <w:sz w:val="22"/>
              </w:rPr>
              <w:t>环境温度</w:t>
            </w:r>
          </w:p>
        </w:tc>
        <w:tc>
          <w:tcPr>
            <w:tcW w:w="1350" w:type="dxa"/>
            <w:tcMar>
              <w:top w:type="dxa" w:w="60"/>
              <w:left w:type="dxa" w:w="120"/>
              <w:bottom w:type="dxa" w:w="30"/>
              <w:right w:type="dxa" w:w="120"/>
            </w:tcMar>
          </w:tcPr>
          <w:p>
            <w:pPr>
              <w:spacing w:before="120" w:after="120" w:line="288" w:lineRule="auto"/>
              <w:ind w:left="0"/>
              <w:jc w:val="left"/>
            </w:pPr>
            <w:r>
              <w:rPr>
                <w:rFonts w:eastAsia="等线" w:ascii="Arial" w:cs="Arial" w:hAnsi="Arial"/>
                <w:sz w:val="22"/>
              </w:rPr>
              <w:t>度</w:t>
            </w:r>
          </w:p>
        </w:tc>
        <w:tc>
          <w:tcPr>
            <w:tcW w:w="4695" w:type="dxa"/>
            <w:tcMar>
              <w:top w:type="dxa" w:w="60"/>
              <w:left w:type="dxa" w:w="120"/>
              <w:bottom w:type="dxa" w:w="30"/>
              <w:right w:type="dxa" w:w="120"/>
            </w:tcMar>
          </w:tcPr>
          <w:p>
            <w:pPr>
              <w:spacing w:before="120" w:after="120" w:line="288" w:lineRule="auto"/>
              <w:ind w:left="0"/>
              <w:jc w:val="left"/>
            </w:pPr>
            <w:r>
              <w:rPr>
                <w:rFonts w:eastAsia="等线" w:ascii="Arial" w:cs="Arial" w:hAnsi="Arial"/>
                <w:sz w:val="22"/>
              </w:rPr>
              <w:t>22° ±1</w:t>
            </w:r>
          </w:p>
        </w:tc>
      </w:tr>
    </w:tbl>
    <w:p>
      <w:pPr>
        <w:pStyle w:val="3"/>
        <w:spacing w:before="300" w:after="120" w:line="288" w:lineRule="auto"/>
        <w:ind w:left="0"/>
        <w:jc w:val="left"/>
        <w:outlineLvl w:val="2"/>
      </w:pPr>
      <w:bookmarkStart w:name="heading_11" w:id="11"/>
      <w:r>
        <w:rPr>
          <w:rFonts w:eastAsia="等线" w:ascii="Arial" w:cs="Arial" w:hAnsi="Arial"/>
          <w:b w:val="true"/>
          <w:sz w:val="30"/>
        </w:rPr>
        <w:t>4.2 基本功能要求</w:t>
      </w:r>
      <w:bookmarkEnd w:id="11"/>
    </w:p>
    <w:p>
      <w:pPr>
        <w:spacing w:before="120" w:after="120" w:line="288" w:lineRule="auto"/>
        <w:ind w:left="0"/>
        <w:jc w:val="left"/>
      </w:pPr>
      <w:r>
        <w:rPr>
          <w:rFonts w:eastAsia="等线" w:ascii="Arial" w:cs="Arial" w:hAnsi="Arial"/>
          <w:sz w:val="22"/>
        </w:rPr>
        <w:t>大尺寸微纳米压印辊筒超精密加工机床的功能应满足以下部分：</w:t>
      </w:r>
    </w:p>
    <w:p>
      <w:pPr>
        <w:spacing w:before="120" w:after="120" w:line="288" w:lineRule="auto"/>
        <w:ind w:left="0"/>
        <w:jc w:val="left"/>
      </w:pPr>
      <w:r>
        <w:rPr>
          <w:rFonts w:eastAsia="等线" w:ascii="Arial" w:cs="Arial" w:hAnsi="Arial"/>
          <w:sz w:val="22"/>
        </w:rPr>
        <w:t>A) 主轴两端采用油浮支撑；</w:t>
      </w:r>
    </w:p>
    <w:p>
      <w:pPr>
        <w:spacing w:before="120" w:after="120" w:line="288" w:lineRule="auto"/>
        <w:ind w:left="0"/>
        <w:jc w:val="left"/>
      </w:pPr>
      <w:r>
        <w:rPr>
          <w:rFonts w:eastAsia="等线" w:ascii="Arial" w:cs="Arial" w:hAnsi="Arial"/>
          <w:sz w:val="22"/>
        </w:rPr>
        <w:t>B) 光栅纳米辊筒雕刻；</w:t>
      </w:r>
    </w:p>
    <w:p>
      <w:pPr>
        <w:spacing w:before="120" w:after="120" w:line="288" w:lineRule="auto"/>
        <w:ind w:left="0"/>
        <w:jc w:val="left"/>
      </w:pPr>
      <w:r>
        <w:rPr>
          <w:rFonts w:eastAsia="等线" w:ascii="Arial" w:cs="Arial" w:hAnsi="Arial"/>
          <w:sz w:val="22"/>
        </w:rPr>
        <w:t>C) 气浮导轨、线性马达、大理石床身。</w:t>
      </w:r>
    </w:p>
    <w:p>
      <w:pPr>
        <w:pStyle w:val="3"/>
        <w:spacing w:before="300" w:after="120" w:line="288" w:lineRule="auto"/>
        <w:ind w:left="0"/>
        <w:jc w:val="left"/>
        <w:outlineLvl w:val="2"/>
      </w:pPr>
      <w:bookmarkStart w:name="heading_12" w:id="12"/>
      <w:r>
        <w:rPr>
          <w:rFonts w:eastAsia="等线" w:ascii="Arial" w:cs="Arial" w:hAnsi="Arial"/>
          <w:b w:val="true"/>
          <w:sz w:val="30"/>
        </w:rPr>
        <w:t>4.3 保护接地要求</w:t>
      </w:r>
      <w:bookmarkEnd w:id="12"/>
    </w:p>
    <w:p>
      <w:pPr>
        <w:spacing w:before="120" w:after="120" w:line="288" w:lineRule="auto"/>
        <w:ind w:left="0"/>
        <w:jc w:val="left"/>
      </w:pPr>
      <w:r>
        <w:rPr>
          <w:rFonts w:eastAsia="等线" w:ascii="Arial" w:cs="Arial" w:hAnsi="Arial"/>
          <w:sz w:val="22"/>
        </w:rPr>
        <w:t>A) 电气装置与机械的所有外露可导电部分都应接到保护接地电路上，应确保其保护接地电路的连续性(见GB 5226.1—2002中第8章)。</w:t>
      </w:r>
    </w:p>
    <w:p>
      <w:pPr>
        <w:spacing w:before="120" w:after="120" w:line="288" w:lineRule="auto"/>
        <w:ind w:left="0"/>
        <w:jc w:val="left"/>
      </w:pPr>
      <w:r>
        <w:rPr>
          <w:rFonts w:eastAsia="等线" w:ascii="Arial" w:cs="Arial" w:hAnsi="Arial"/>
          <w:sz w:val="22"/>
        </w:rPr>
        <w:t>B) 大尺寸微纳米压印辊筒超精密加工机床的电源引入端口外连接外部保护导线的端子应使用字母标志PE标识，外部保护铜导线的最小面积要求见表2(不为铜导线时应使用系数修正)。</w:t>
      </w:r>
    </w:p>
    <w:p>
      <w:pPr>
        <w:spacing w:before="120" w:after="120" w:line="288" w:lineRule="auto"/>
        <w:ind w:left="0"/>
        <w:jc w:val="left"/>
      </w:pPr>
      <w:r>
        <w:rPr>
          <w:rFonts w:eastAsia="等线" w:ascii="Arial" w:cs="Arial" w:hAnsi="Arial"/>
          <w:b w:val="true"/>
          <w:sz w:val="22"/>
        </w:rPr>
        <w:t>表2 外部保护铜导线的最小截面积（单位：平方毫米）</w:t>
      </w:r>
    </w:p>
    <w:tbl>
      <w:tblPr>
        <w:tblW w:w="0" w:type="auto"/>
        <w:tblInd w:w="0" w:type="dxa"/>
        <w:tblBorders>
          <w:top w:val="single" w:color="dee0e3"/>
          <w:left w:val="single" w:color="dee0e3"/>
          <w:bottom w:val="single" w:color="dee0e3"/>
          <w:right w:val="single" w:color="dee0e3"/>
          <w:insideH w:val="single" w:color="dee0e3"/>
          <w:insideV w:val="single" w:color="dee0e3"/>
        </w:tblBorders>
        <w:tblLayout w:type="fixed"/>
      </w:tblPr>
      <w:tblGrid>
        <w:gridCol w:w="4140"/>
        <w:gridCol w:w="4140"/>
      </w:tblGrid>
      <w:tr>
        <w:tc>
          <w:tcPr>
            <w:tcW w:w="4140" w:type="dxa"/>
            <w:tcMar>
              <w:top w:type="dxa" w:w="60"/>
              <w:left w:type="dxa" w:w="120"/>
              <w:bottom w:type="dxa" w:w="30"/>
              <w:right w:type="dxa" w:w="120"/>
            </w:tcMar>
          </w:tcPr>
          <w:p>
            <w:pPr>
              <w:spacing w:before="120" w:after="120" w:line="288" w:lineRule="auto"/>
              <w:ind w:left="0"/>
              <w:jc w:val="left"/>
            </w:pPr>
            <w:r>
              <w:rPr>
                <w:rFonts w:eastAsia="等线" w:ascii="Arial" w:cs="Arial" w:hAnsi="Arial"/>
                <w:sz w:val="22"/>
              </w:rPr>
              <w:t>电源供电相线的截面积 S</w:t>
            </w:r>
          </w:p>
        </w:tc>
        <w:tc>
          <w:tcPr>
            <w:tcW w:w="4140" w:type="dxa"/>
            <w:tcMar>
              <w:top w:type="dxa" w:w="60"/>
              <w:left w:type="dxa" w:w="120"/>
              <w:bottom w:type="dxa" w:w="30"/>
              <w:right w:type="dxa" w:w="120"/>
            </w:tcMar>
          </w:tcPr>
          <w:p>
            <w:pPr>
              <w:spacing w:before="120" w:after="120" w:line="288" w:lineRule="auto"/>
              <w:ind w:left="0"/>
              <w:jc w:val="left"/>
            </w:pPr>
            <w:r>
              <w:rPr>
                <w:rFonts w:eastAsia="等线" w:ascii="Arial" w:cs="Arial" w:hAnsi="Arial"/>
                <w:sz w:val="22"/>
              </w:rPr>
              <w:t>外部保护导线的最小截面积 Sp</w:t>
            </w:r>
          </w:p>
        </w:tc>
      </w:tr>
      <w:tr>
        <w:tc>
          <w:tcPr>
            <w:tcW w:w="4140" w:type="dxa"/>
            <w:tcMar>
              <w:top w:type="dxa" w:w="60"/>
              <w:left w:type="dxa" w:w="120"/>
              <w:bottom w:type="dxa" w:w="30"/>
              <w:right w:type="dxa" w:w="120"/>
            </w:tcMar>
          </w:tcPr>
          <w:p>
            <w:pPr>
              <w:spacing w:before="120" w:after="120" w:line="288" w:lineRule="auto"/>
              <w:ind w:left="0"/>
              <w:jc w:val="left"/>
            </w:pPr>
            <w:r>
              <w:rPr>
                <w:rFonts w:eastAsia="等线" w:ascii="Arial" w:cs="Arial" w:hAnsi="Arial"/>
                <w:sz w:val="22"/>
              </w:rPr>
              <w:t>S ≤16</w:t>
            </w:r>
          </w:p>
        </w:tc>
        <w:tc>
          <w:tcPr>
            <w:tcW w:w="4140" w:type="dxa"/>
            <w:tcMar>
              <w:top w:type="dxa" w:w="60"/>
              <w:left w:type="dxa" w:w="120"/>
              <w:bottom w:type="dxa" w:w="30"/>
              <w:right w:type="dxa" w:w="120"/>
            </w:tcMar>
          </w:tcPr>
          <w:p>
            <w:pPr>
              <w:spacing w:before="120" w:after="120" w:line="288" w:lineRule="auto"/>
              <w:ind w:left="0"/>
              <w:jc w:val="left"/>
            </w:pPr>
            <w:r>
              <w:rPr>
                <w:rFonts w:eastAsia="等线" w:ascii="Arial" w:cs="Arial" w:hAnsi="Arial"/>
                <w:sz w:val="22"/>
              </w:rPr>
              <w:t>S</w:t>
            </w:r>
          </w:p>
        </w:tc>
      </w:tr>
      <w:tr>
        <w:tc>
          <w:tcPr>
            <w:tcW w:w="4140" w:type="dxa"/>
            <w:tcMar>
              <w:top w:type="dxa" w:w="60"/>
              <w:left w:type="dxa" w:w="120"/>
              <w:bottom w:type="dxa" w:w="30"/>
              <w:right w:type="dxa" w:w="120"/>
            </w:tcMar>
          </w:tcPr>
          <w:p>
            <w:pPr>
              <w:spacing w:before="120" w:after="120" w:line="288" w:lineRule="auto"/>
              <w:ind w:left="0"/>
              <w:jc w:val="left"/>
            </w:pPr>
            <w:r>
              <w:rPr>
                <w:rFonts w:eastAsia="等线" w:ascii="Arial" w:cs="Arial" w:hAnsi="Arial"/>
                <w:sz w:val="22"/>
              </w:rPr>
              <w:t>16＜S ≤35</w:t>
            </w:r>
          </w:p>
        </w:tc>
        <w:tc>
          <w:tcPr>
            <w:tcW w:w="4140" w:type="dxa"/>
            <w:tcMar>
              <w:top w:type="dxa" w:w="60"/>
              <w:left w:type="dxa" w:w="120"/>
              <w:bottom w:type="dxa" w:w="30"/>
              <w:right w:type="dxa" w:w="120"/>
            </w:tcMar>
          </w:tcPr>
          <w:p>
            <w:pPr>
              <w:spacing w:before="120" w:after="120" w:line="288" w:lineRule="auto"/>
              <w:ind w:left="0"/>
              <w:jc w:val="left"/>
            </w:pPr>
            <w:r>
              <w:rPr>
                <w:rFonts w:eastAsia="等线" w:ascii="Arial" w:cs="Arial" w:hAnsi="Arial"/>
                <w:sz w:val="22"/>
              </w:rPr>
              <w:t>16</w:t>
            </w:r>
          </w:p>
        </w:tc>
      </w:tr>
      <w:tr>
        <w:tc>
          <w:tcPr>
            <w:tcW w:w="4140" w:type="dxa"/>
            <w:tcMar>
              <w:top w:type="dxa" w:w="60"/>
              <w:left w:type="dxa" w:w="120"/>
              <w:bottom w:type="dxa" w:w="30"/>
              <w:right w:type="dxa" w:w="120"/>
            </w:tcMar>
          </w:tcPr>
          <w:p>
            <w:pPr>
              <w:spacing w:before="120" w:after="120" w:line="288" w:lineRule="auto"/>
              <w:ind w:left="0"/>
              <w:jc w:val="left"/>
            </w:pPr>
            <w:r>
              <w:rPr>
                <w:rFonts w:eastAsia="等线" w:ascii="Arial" w:cs="Arial" w:hAnsi="Arial"/>
                <w:sz w:val="22"/>
              </w:rPr>
              <w:t>S＞35</w:t>
            </w:r>
          </w:p>
        </w:tc>
        <w:tc>
          <w:tcPr>
            <w:tcW w:w="4140" w:type="dxa"/>
            <w:tcMar>
              <w:top w:type="dxa" w:w="60"/>
              <w:left w:type="dxa" w:w="120"/>
              <w:bottom w:type="dxa" w:w="30"/>
              <w:right w:type="dxa" w:w="120"/>
            </w:tcMar>
          </w:tcPr>
          <w:p>
            <w:pPr>
              <w:spacing w:before="120" w:after="120" w:line="288" w:lineRule="auto"/>
              <w:ind w:left="0"/>
              <w:jc w:val="left"/>
            </w:pPr>
            <w:r>
              <w:rPr>
                <w:rFonts w:eastAsia="等线" w:ascii="Arial" w:cs="Arial" w:hAnsi="Arial"/>
                <w:sz w:val="22"/>
              </w:rPr>
              <w:t>S/2</w:t>
            </w:r>
          </w:p>
        </w:tc>
      </w:tr>
    </w:tbl>
    <w:p>
      <w:pPr>
        <w:spacing w:before="120" w:after="120" w:line="288" w:lineRule="auto"/>
        <w:ind w:left="0"/>
        <w:jc w:val="left"/>
      </w:pPr>
      <w:r>
        <w:rPr>
          <w:rFonts w:eastAsia="等线" w:ascii="Arial" w:cs="Arial" w:hAnsi="Arial"/>
          <w:sz w:val="22"/>
        </w:rPr>
        <w:t>所有保护导线应进行端子连接，且一个端子只能连接1根保护导线。每个保护导线接点都应有接地符号标记。保护导线采用“黄/绿双色”导线。</w:t>
      </w:r>
    </w:p>
    <w:p>
      <w:pPr>
        <w:spacing w:before="120" w:after="120" w:line="288" w:lineRule="auto"/>
        <w:ind w:left="0"/>
        <w:jc w:val="left"/>
      </w:pPr>
      <w:r>
        <w:rPr>
          <w:rFonts w:eastAsia="等线" w:ascii="Arial" w:cs="Arial" w:hAnsi="Arial"/>
          <w:sz w:val="22"/>
        </w:rPr>
        <w:t>保护接地电路的连续性应符合GB 5226.1—2002的19.2的规定，即保护总接地端子PE到各测试点间的实测电压降不应超过表3所规定的值。</w:t>
      </w:r>
    </w:p>
    <w:p>
      <w:pPr>
        <w:spacing w:before="120" w:after="120" w:line="288" w:lineRule="auto"/>
        <w:ind w:left="0"/>
        <w:jc w:val="left"/>
      </w:pPr>
      <w:r>
        <w:rPr>
          <w:rFonts w:eastAsia="等线" w:ascii="Arial" w:cs="Arial" w:hAnsi="Arial"/>
          <w:b w:val="true"/>
          <w:sz w:val="22"/>
        </w:rPr>
        <w:t>表3 保护接地电路连续性的条件</w:t>
      </w:r>
    </w:p>
    <w:tbl>
      <w:tblPr>
        <w:tblW w:w="0" w:type="auto"/>
        <w:tblInd w:w="0" w:type="dxa"/>
        <w:tblBorders>
          <w:top w:val="single" w:color="dee0e3"/>
          <w:left w:val="single" w:color="dee0e3"/>
          <w:bottom w:val="single" w:color="dee0e3"/>
          <w:right w:val="single" w:color="dee0e3"/>
          <w:insideH w:val="single" w:color="dee0e3"/>
          <w:insideV w:val="single" w:color="dee0e3"/>
        </w:tblBorders>
        <w:tblLayout w:type="fixed"/>
      </w:tblPr>
      <w:tblGrid>
        <w:gridCol w:w="4140"/>
        <w:gridCol w:w="4140"/>
      </w:tblGrid>
      <w:tr>
        <w:tc>
          <w:tcPr>
            <w:tcW w:w="4140" w:type="dxa"/>
            <w:tcMar>
              <w:top w:type="dxa" w:w="60"/>
              <w:left w:type="dxa" w:w="120"/>
              <w:bottom w:type="dxa" w:w="30"/>
              <w:right w:type="dxa" w:w="120"/>
            </w:tcMar>
          </w:tcPr>
          <w:p>
            <w:pPr>
              <w:spacing w:before="120" w:after="120" w:line="288" w:lineRule="auto"/>
              <w:ind w:left="0"/>
              <w:jc w:val="left"/>
            </w:pPr>
            <w:r>
              <w:rPr>
                <w:rFonts w:eastAsia="等线" w:ascii="Arial" w:cs="Arial" w:hAnsi="Arial"/>
                <w:sz w:val="22"/>
              </w:rPr>
              <w:t>被测保护导线支路最小有效截面积 mm²</w:t>
            </w:r>
          </w:p>
        </w:tc>
        <w:tc>
          <w:tcPr>
            <w:tcW w:w="4140" w:type="dxa"/>
            <w:tcMar>
              <w:top w:type="dxa" w:w="60"/>
              <w:left w:type="dxa" w:w="120"/>
              <w:bottom w:type="dxa" w:w="30"/>
              <w:right w:type="dxa" w:w="120"/>
            </w:tcMar>
          </w:tcPr>
          <w:p>
            <w:pPr>
              <w:spacing w:before="120" w:after="120" w:line="288" w:lineRule="auto"/>
              <w:ind w:left="0"/>
              <w:jc w:val="left"/>
            </w:pPr>
            <w:r>
              <w:rPr>
                <w:rFonts w:eastAsia="等线" w:ascii="Arial" w:cs="Arial" w:hAnsi="Arial"/>
                <w:sz w:val="22"/>
              </w:rPr>
              <w:t>最大的实测电压降(对应测试电流为10A的值) V</w:t>
            </w:r>
          </w:p>
        </w:tc>
      </w:tr>
      <w:tr>
        <w:tc>
          <w:tcPr>
            <w:tcW w:w="4140" w:type="dxa"/>
            <w:tcMar>
              <w:top w:type="dxa" w:w="60"/>
              <w:left w:type="dxa" w:w="120"/>
              <w:bottom w:type="dxa" w:w="30"/>
              <w:right w:type="dxa" w:w="120"/>
            </w:tcMar>
          </w:tcPr>
          <w:p>
            <w:pPr>
              <w:spacing w:before="120" w:after="120" w:line="288" w:lineRule="auto"/>
              <w:ind w:left="0"/>
              <w:jc w:val="left"/>
            </w:pPr>
            <w:r>
              <w:rPr>
                <w:rFonts w:eastAsia="等线" w:ascii="Arial" w:cs="Arial" w:hAnsi="Arial"/>
                <w:sz w:val="22"/>
              </w:rPr>
              <w:t>1.0</w:t>
            </w:r>
          </w:p>
        </w:tc>
        <w:tc>
          <w:tcPr>
            <w:tcW w:w="4140" w:type="dxa"/>
            <w:tcMar>
              <w:top w:type="dxa" w:w="60"/>
              <w:left w:type="dxa" w:w="120"/>
              <w:bottom w:type="dxa" w:w="30"/>
              <w:right w:type="dxa" w:w="120"/>
            </w:tcMar>
          </w:tcPr>
          <w:p>
            <w:pPr>
              <w:spacing w:before="120" w:after="120" w:line="288" w:lineRule="auto"/>
              <w:ind w:left="0"/>
              <w:jc w:val="left"/>
            </w:pPr>
            <w:r>
              <w:rPr>
                <w:rFonts w:eastAsia="等线" w:ascii="Arial" w:cs="Arial" w:hAnsi="Arial"/>
                <w:sz w:val="22"/>
              </w:rPr>
              <w:t>3.3</w:t>
            </w:r>
          </w:p>
        </w:tc>
      </w:tr>
      <w:tr>
        <w:tc>
          <w:tcPr>
            <w:tcW w:w="4140" w:type="dxa"/>
            <w:tcMar>
              <w:top w:type="dxa" w:w="60"/>
              <w:left w:type="dxa" w:w="120"/>
              <w:bottom w:type="dxa" w:w="30"/>
              <w:right w:type="dxa" w:w="120"/>
            </w:tcMar>
          </w:tcPr>
          <w:p>
            <w:pPr>
              <w:spacing w:before="120" w:after="120" w:line="288" w:lineRule="auto"/>
              <w:ind w:left="0"/>
              <w:jc w:val="left"/>
            </w:pPr>
            <w:r>
              <w:rPr>
                <w:rFonts w:eastAsia="等线" w:ascii="Arial" w:cs="Arial" w:hAnsi="Arial"/>
                <w:sz w:val="22"/>
              </w:rPr>
              <w:t>1.5</w:t>
            </w:r>
          </w:p>
        </w:tc>
        <w:tc>
          <w:tcPr>
            <w:tcW w:w="4140" w:type="dxa"/>
            <w:tcMar>
              <w:top w:type="dxa" w:w="60"/>
              <w:left w:type="dxa" w:w="120"/>
              <w:bottom w:type="dxa" w:w="30"/>
              <w:right w:type="dxa" w:w="120"/>
            </w:tcMar>
          </w:tcPr>
          <w:p>
            <w:pPr>
              <w:spacing w:before="120" w:after="120" w:line="288" w:lineRule="auto"/>
              <w:ind w:left="0"/>
              <w:jc w:val="left"/>
            </w:pPr>
            <w:r>
              <w:rPr>
                <w:rFonts w:eastAsia="等线" w:ascii="Arial" w:cs="Arial" w:hAnsi="Arial"/>
                <w:sz w:val="22"/>
              </w:rPr>
              <w:t>2.6</w:t>
            </w:r>
          </w:p>
        </w:tc>
      </w:tr>
      <w:tr>
        <w:tc>
          <w:tcPr>
            <w:tcW w:w="4140" w:type="dxa"/>
            <w:tcMar>
              <w:top w:type="dxa" w:w="60"/>
              <w:left w:type="dxa" w:w="120"/>
              <w:bottom w:type="dxa" w:w="30"/>
              <w:right w:type="dxa" w:w="120"/>
            </w:tcMar>
          </w:tcPr>
          <w:p>
            <w:pPr>
              <w:spacing w:before="120" w:after="120" w:line="288" w:lineRule="auto"/>
              <w:ind w:left="0"/>
              <w:jc w:val="left"/>
            </w:pPr>
            <w:r>
              <w:rPr>
                <w:rFonts w:eastAsia="等线" w:ascii="Arial" w:cs="Arial" w:hAnsi="Arial"/>
                <w:sz w:val="22"/>
              </w:rPr>
              <w:t>2.5</w:t>
            </w:r>
          </w:p>
        </w:tc>
        <w:tc>
          <w:tcPr>
            <w:tcW w:w="4140" w:type="dxa"/>
            <w:tcMar>
              <w:top w:type="dxa" w:w="60"/>
              <w:left w:type="dxa" w:w="120"/>
              <w:bottom w:type="dxa" w:w="30"/>
              <w:right w:type="dxa" w:w="120"/>
            </w:tcMar>
          </w:tcPr>
          <w:p>
            <w:pPr>
              <w:spacing w:before="120" w:after="120" w:line="288" w:lineRule="auto"/>
              <w:ind w:left="0"/>
              <w:jc w:val="left"/>
            </w:pPr>
            <w:r>
              <w:rPr>
                <w:rFonts w:eastAsia="等线" w:ascii="Arial" w:cs="Arial" w:hAnsi="Arial"/>
                <w:sz w:val="22"/>
              </w:rPr>
              <w:t>1.9</w:t>
            </w:r>
          </w:p>
        </w:tc>
      </w:tr>
      <w:tr>
        <w:tc>
          <w:tcPr>
            <w:tcW w:w="4140" w:type="dxa"/>
            <w:tcMar>
              <w:top w:type="dxa" w:w="60"/>
              <w:left w:type="dxa" w:w="120"/>
              <w:bottom w:type="dxa" w:w="30"/>
              <w:right w:type="dxa" w:w="120"/>
            </w:tcMar>
          </w:tcPr>
          <w:p>
            <w:pPr>
              <w:spacing w:before="120" w:after="120" w:line="288" w:lineRule="auto"/>
              <w:ind w:left="0"/>
              <w:jc w:val="left"/>
            </w:pPr>
            <w:r>
              <w:rPr>
                <w:rFonts w:eastAsia="等线" w:ascii="Arial" w:cs="Arial" w:hAnsi="Arial"/>
                <w:sz w:val="22"/>
              </w:rPr>
              <w:t>4.0</w:t>
            </w:r>
          </w:p>
        </w:tc>
        <w:tc>
          <w:tcPr>
            <w:tcW w:w="4140" w:type="dxa"/>
            <w:tcMar>
              <w:top w:type="dxa" w:w="60"/>
              <w:left w:type="dxa" w:w="120"/>
              <w:bottom w:type="dxa" w:w="30"/>
              <w:right w:type="dxa" w:w="120"/>
            </w:tcMar>
          </w:tcPr>
          <w:p>
            <w:pPr>
              <w:spacing w:before="120" w:after="120" w:line="288" w:lineRule="auto"/>
              <w:ind w:left="0"/>
              <w:jc w:val="left"/>
            </w:pPr>
            <w:r>
              <w:rPr>
                <w:rFonts w:eastAsia="等线" w:ascii="Arial" w:cs="Arial" w:hAnsi="Arial"/>
                <w:sz w:val="22"/>
              </w:rPr>
              <w:t>1.4</w:t>
            </w:r>
          </w:p>
        </w:tc>
      </w:tr>
    </w:tbl>
    <w:p>
      <w:pPr>
        <w:spacing w:before="120" w:after="120" w:line="288" w:lineRule="auto"/>
        <w:ind w:left="0"/>
        <w:jc w:val="left"/>
      </w:pPr>
      <w:r>
        <w:rPr>
          <w:rFonts w:eastAsia="等线" w:ascii="Arial" w:cs="Arial" w:hAnsi="Arial"/>
          <w:sz w:val="22"/>
        </w:rPr>
        <w:t>保护接地电路只有在通电导线全部断开之后再断开。</w:t>
      </w:r>
    </w:p>
    <w:p>
      <w:pPr>
        <w:spacing w:before="120" w:after="120" w:line="288" w:lineRule="auto"/>
        <w:ind w:left="0"/>
        <w:jc w:val="left"/>
      </w:pPr>
      <w:r>
        <w:rPr>
          <w:rFonts w:eastAsia="等线" w:ascii="Arial" w:cs="Arial" w:hAnsi="Arial"/>
          <w:sz w:val="22"/>
        </w:rPr>
        <w:t>保护接地电路连续性的重新建立应在所有通电导线重新接通之前。</w:t>
      </w:r>
    </w:p>
    <w:p>
      <w:pPr>
        <w:pStyle w:val="3"/>
        <w:spacing w:before="300" w:after="120" w:line="288" w:lineRule="auto"/>
        <w:ind w:left="0"/>
        <w:jc w:val="left"/>
        <w:outlineLvl w:val="2"/>
      </w:pPr>
      <w:bookmarkStart w:name="heading_13" w:id="13"/>
      <w:r>
        <w:rPr>
          <w:rFonts w:eastAsia="等线" w:ascii="Arial" w:cs="Arial" w:hAnsi="Arial"/>
          <w:b w:val="true"/>
          <w:sz w:val="30"/>
        </w:rPr>
        <w:t>4.4 绝缘电阻要求</w:t>
      </w:r>
      <w:bookmarkEnd w:id="13"/>
    </w:p>
    <w:p>
      <w:pPr>
        <w:spacing w:before="120" w:after="120" w:line="288" w:lineRule="auto"/>
        <w:ind w:left="0"/>
        <w:jc w:val="left"/>
      </w:pPr>
      <w:r>
        <w:rPr>
          <w:rFonts w:eastAsia="等线" w:ascii="Arial" w:cs="Arial" w:hAnsi="Arial"/>
          <w:sz w:val="22"/>
        </w:rPr>
        <w:t>A) 加工机在正常实验条件及极限低温条件下，连接外部电源电路和保护接地电路间施加DC 500V时测得的绝缘电阻应大于20MΩ。</w:t>
      </w:r>
    </w:p>
    <w:p>
      <w:pPr>
        <w:spacing w:before="120" w:after="120" w:line="288" w:lineRule="auto"/>
        <w:ind w:left="0"/>
        <w:jc w:val="left"/>
      </w:pPr>
      <w:r>
        <w:rPr>
          <w:rFonts w:eastAsia="等线" w:ascii="Arial" w:cs="Arial" w:hAnsi="Arial"/>
          <w:sz w:val="22"/>
        </w:rPr>
        <w:t>B) 在高温条件下，连接外部电源电路和保护接地电路间施加DC 500V时测得的绝缘电阻应大于10MΩ。</w:t>
      </w:r>
    </w:p>
    <w:p>
      <w:pPr>
        <w:spacing w:before="120" w:after="120" w:line="288" w:lineRule="auto"/>
        <w:ind w:left="0"/>
        <w:jc w:val="left"/>
      </w:pPr>
      <w:r>
        <w:rPr>
          <w:rFonts w:eastAsia="等线" w:ascii="Arial" w:cs="Arial" w:hAnsi="Arial"/>
          <w:sz w:val="22"/>
        </w:rPr>
        <w:t>C) 加工机在恒定湿热试验后，连接外部电源电路和保护接地电路间施加DC 500V时测得的绝缘电阻应大于1MΩ。</w:t>
      </w:r>
    </w:p>
    <w:p>
      <w:pPr>
        <w:pStyle w:val="3"/>
        <w:spacing w:before="300" w:after="120" w:line="288" w:lineRule="auto"/>
        <w:ind w:left="0"/>
        <w:jc w:val="left"/>
        <w:outlineLvl w:val="2"/>
      </w:pPr>
      <w:bookmarkStart w:name="heading_14" w:id="14"/>
      <w:r>
        <w:rPr>
          <w:rFonts w:eastAsia="等线" w:ascii="Arial" w:cs="Arial" w:hAnsi="Arial"/>
          <w:b w:val="true"/>
          <w:sz w:val="30"/>
        </w:rPr>
        <w:t>4.5 防火保护及非金属材料的阻燃性能要求</w:t>
      </w:r>
      <w:bookmarkEnd w:id="14"/>
    </w:p>
    <w:p>
      <w:pPr>
        <w:spacing w:before="120" w:after="120" w:line="288" w:lineRule="auto"/>
        <w:ind w:left="0"/>
        <w:jc w:val="left"/>
      </w:pPr>
      <w:r>
        <w:rPr>
          <w:rFonts w:eastAsia="等线" w:ascii="Arial" w:cs="Arial" w:hAnsi="Arial"/>
          <w:sz w:val="22"/>
        </w:rPr>
        <w:t>产品应具有异常温度升高的防火保护措施。</w:t>
      </w:r>
    </w:p>
    <w:p>
      <w:pPr>
        <w:spacing w:before="120" w:after="120" w:line="288" w:lineRule="auto"/>
        <w:ind w:left="0"/>
        <w:jc w:val="left"/>
      </w:pPr>
      <w:r>
        <w:rPr>
          <w:rFonts w:eastAsia="等线" w:ascii="Arial" w:cs="Arial" w:hAnsi="Arial"/>
          <w:sz w:val="22"/>
        </w:rPr>
        <w:t>对非金属材料的阻燃性能要求如下：</w:t>
      </w:r>
    </w:p>
    <w:p>
      <w:pPr>
        <w:spacing w:before="120" w:after="120" w:line="288" w:lineRule="auto"/>
        <w:ind w:left="0"/>
        <w:jc w:val="left"/>
      </w:pPr>
      <w:r>
        <w:rPr>
          <w:rFonts w:eastAsia="等线" w:ascii="Arial" w:cs="Arial" w:hAnsi="Arial"/>
          <w:sz w:val="22"/>
        </w:rPr>
        <w:t>A) 非金属外壳材料：最外层壳体部分的非金属材料应具有一定的阻燃性能，以防止火焰蔓延，并应符合V-0、V-1和V-2的火焰蔓延率(GB/T 5169.16—2008的第9章)。</w:t>
      </w:r>
    </w:p>
    <w:p>
      <w:pPr>
        <w:spacing w:before="120" w:after="120" w:line="288" w:lineRule="auto"/>
        <w:ind w:left="0"/>
        <w:jc w:val="left"/>
      </w:pPr>
      <w:r>
        <w:rPr>
          <w:rFonts w:eastAsia="等线" w:ascii="Arial" w:cs="Arial" w:hAnsi="Arial"/>
          <w:sz w:val="22"/>
        </w:rPr>
        <w:t>B) 非金属部件：非金属部件应具备V-2级的火焰蔓延率(GB/T 5169.16—2008的第9章)或更好的性能。</w:t>
      </w:r>
    </w:p>
    <w:p>
      <w:pPr>
        <w:pStyle w:val="3"/>
        <w:spacing w:before="300" w:after="120" w:line="288" w:lineRule="auto"/>
        <w:ind w:left="0"/>
        <w:jc w:val="left"/>
        <w:outlineLvl w:val="2"/>
      </w:pPr>
      <w:bookmarkStart w:name="heading_15" w:id="15"/>
      <w:r>
        <w:rPr>
          <w:rFonts w:eastAsia="等线" w:ascii="Arial" w:cs="Arial" w:hAnsi="Arial"/>
          <w:b w:val="true"/>
          <w:sz w:val="30"/>
        </w:rPr>
        <w:t>4.6 贮存、运输的耐干热与耐干冷要求</w:t>
      </w:r>
      <w:bookmarkEnd w:id="15"/>
    </w:p>
    <w:p>
      <w:pPr>
        <w:spacing w:before="120" w:after="120" w:line="288" w:lineRule="auto"/>
        <w:ind w:left="0"/>
        <w:jc w:val="left"/>
      </w:pPr>
      <w:r>
        <w:rPr>
          <w:rFonts w:eastAsia="等线" w:ascii="Arial" w:cs="Arial" w:hAnsi="Arial"/>
          <w:sz w:val="22"/>
        </w:rPr>
        <w:t>大尺寸微纳米压印辊筒超精密加工机床贮存运输允许的气候条件应符合以下条件：</w:t>
      </w:r>
    </w:p>
    <w:p>
      <w:pPr>
        <w:spacing w:before="120" w:after="120" w:line="288" w:lineRule="auto"/>
        <w:ind w:left="0"/>
        <w:jc w:val="left"/>
      </w:pPr>
      <w:r>
        <w:rPr>
          <w:rFonts w:eastAsia="等线" w:ascii="Arial" w:cs="Arial" w:hAnsi="Arial"/>
          <w:sz w:val="22"/>
        </w:rPr>
        <w:t>A) 环境温度:-40℃~+70℃；长期贮存温度一般为-25℃~+55℃；</w:t>
      </w:r>
    </w:p>
    <w:p>
      <w:pPr>
        <w:spacing w:before="120" w:after="120" w:line="288" w:lineRule="auto"/>
        <w:ind w:left="0"/>
        <w:jc w:val="left"/>
      </w:pPr>
      <w:r>
        <w:rPr>
          <w:rFonts w:eastAsia="等线" w:ascii="Arial" w:cs="Arial" w:hAnsi="Arial"/>
          <w:sz w:val="22"/>
        </w:rPr>
        <w:t>B) 相对湿度:10%~95%，无凝露；</w:t>
      </w:r>
    </w:p>
    <w:p>
      <w:pPr>
        <w:spacing w:before="120" w:after="120" w:line="288" w:lineRule="auto"/>
        <w:ind w:left="0"/>
        <w:jc w:val="left"/>
      </w:pPr>
      <w:r>
        <w:rPr>
          <w:rFonts w:eastAsia="等线" w:ascii="Arial" w:cs="Arial" w:hAnsi="Arial"/>
          <w:sz w:val="22"/>
        </w:rPr>
        <w:t>C) 大气压强:70kPa~106kPa(海拔高度0m~3000m)。</w:t>
      </w:r>
    </w:p>
    <w:p>
      <w:pPr>
        <w:pStyle w:val="3"/>
        <w:spacing w:before="300" w:after="120" w:line="288" w:lineRule="auto"/>
        <w:ind w:left="0"/>
        <w:jc w:val="left"/>
        <w:outlineLvl w:val="2"/>
      </w:pPr>
      <w:bookmarkStart w:name="heading_16" w:id="16"/>
      <w:r>
        <w:rPr>
          <w:rFonts w:eastAsia="等线" w:ascii="Arial" w:cs="Arial" w:hAnsi="Arial"/>
          <w:b w:val="true"/>
          <w:sz w:val="30"/>
        </w:rPr>
        <w:t>4.7 温度变化运行要求</w:t>
      </w:r>
      <w:bookmarkEnd w:id="16"/>
    </w:p>
    <w:p>
      <w:pPr>
        <w:spacing w:before="120" w:after="120" w:line="288" w:lineRule="auto"/>
        <w:ind w:left="0"/>
        <w:jc w:val="left"/>
      </w:pPr>
      <w:r>
        <w:rPr>
          <w:rFonts w:eastAsia="等线" w:ascii="Arial" w:cs="Arial" w:hAnsi="Arial"/>
          <w:sz w:val="22"/>
        </w:rPr>
        <w:t>大尺寸微纳米压印辊筒超精密加工机床应在下列温度变化气候条件下正常工作:</w:t>
      </w:r>
    </w:p>
    <w:p>
      <w:pPr>
        <w:spacing w:before="120" w:after="120" w:line="288" w:lineRule="auto"/>
        <w:ind w:left="0"/>
        <w:jc w:val="left"/>
      </w:pPr>
      <w:r>
        <w:rPr>
          <w:rFonts w:eastAsia="等线" w:ascii="Arial" w:cs="Arial" w:hAnsi="Arial"/>
          <w:sz w:val="22"/>
        </w:rPr>
        <w:t>A) 环境温度:22±1℃；</w:t>
      </w:r>
    </w:p>
    <w:p>
      <w:pPr>
        <w:spacing w:before="120" w:after="120" w:line="288" w:lineRule="auto"/>
        <w:ind w:left="0"/>
        <w:jc w:val="left"/>
      </w:pPr>
      <w:r>
        <w:rPr>
          <w:rFonts w:eastAsia="等线" w:ascii="Arial" w:cs="Arial" w:hAnsi="Arial"/>
          <w:sz w:val="22"/>
        </w:rPr>
        <w:t>B) 相对湿度:30%~95%，无凝霜；</w:t>
      </w:r>
    </w:p>
    <w:p>
      <w:pPr>
        <w:spacing w:before="120" w:after="120" w:line="288" w:lineRule="auto"/>
        <w:ind w:left="0"/>
        <w:jc w:val="left"/>
      </w:pPr>
      <w:r>
        <w:rPr>
          <w:rFonts w:eastAsia="等线" w:ascii="Arial" w:cs="Arial" w:hAnsi="Arial"/>
          <w:sz w:val="22"/>
        </w:rPr>
        <w:t>C) 大气压强:86kPa~106kPa。</w:t>
      </w:r>
    </w:p>
    <w:p>
      <w:pPr>
        <w:pStyle w:val="2"/>
        <w:spacing w:before="320" w:after="120" w:line="288" w:lineRule="auto"/>
        <w:ind w:left="0"/>
        <w:jc w:val="left"/>
        <w:outlineLvl w:val="1"/>
      </w:pPr>
      <w:bookmarkStart w:name="heading_17" w:id="17"/>
      <w:r>
        <w:rPr>
          <w:rFonts w:eastAsia="等线" w:ascii="Arial" w:cs="Arial" w:hAnsi="Arial"/>
          <w:b w:val="true"/>
          <w:sz w:val="32"/>
        </w:rPr>
        <w:t>5 试验方法</w:t>
      </w:r>
      <w:bookmarkEnd w:id="17"/>
    </w:p>
    <w:p>
      <w:pPr>
        <w:pStyle w:val="3"/>
        <w:spacing w:before="300" w:after="120" w:line="288" w:lineRule="auto"/>
        <w:ind w:left="0"/>
        <w:jc w:val="left"/>
        <w:outlineLvl w:val="2"/>
      </w:pPr>
      <w:bookmarkStart w:name="heading_18" w:id="18"/>
      <w:r>
        <w:rPr>
          <w:rFonts w:eastAsia="等线" w:ascii="Arial" w:cs="Arial" w:hAnsi="Arial"/>
          <w:b w:val="true"/>
          <w:sz w:val="30"/>
        </w:rPr>
        <w:t>5.1 试验环境</w:t>
      </w:r>
      <w:bookmarkEnd w:id="18"/>
    </w:p>
    <w:p>
      <w:pPr>
        <w:spacing w:before="120" w:after="120" w:line="288" w:lineRule="auto"/>
        <w:ind w:left="0"/>
        <w:jc w:val="left"/>
      </w:pPr>
      <w:r>
        <w:rPr>
          <w:rFonts w:eastAsia="等线" w:ascii="Arial" w:cs="Arial" w:hAnsi="Arial"/>
          <w:sz w:val="22"/>
        </w:rPr>
        <w:t>大尺寸微纳米压印辊筒超精密加工机床应在下列温度变化气候条件下正常工作:</w:t>
      </w:r>
    </w:p>
    <w:p>
      <w:pPr>
        <w:spacing w:before="120" w:after="120" w:line="288" w:lineRule="auto"/>
        <w:ind w:left="0"/>
        <w:jc w:val="left"/>
      </w:pPr>
      <w:r>
        <w:rPr>
          <w:rFonts w:eastAsia="等线" w:ascii="Arial" w:cs="Arial" w:hAnsi="Arial"/>
          <w:sz w:val="22"/>
        </w:rPr>
        <w:t>A) 环境温度:22±1℃；</w:t>
      </w:r>
    </w:p>
    <w:p>
      <w:pPr>
        <w:spacing w:before="120" w:after="120" w:line="288" w:lineRule="auto"/>
        <w:ind w:left="0"/>
        <w:jc w:val="left"/>
      </w:pPr>
      <w:r>
        <w:rPr>
          <w:rFonts w:eastAsia="等线" w:ascii="Arial" w:cs="Arial" w:hAnsi="Arial"/>
          <w:sz w:val="22"/>
        </w:rPr>
        <w:t>B) 相对湿度:30%~95%，无凝霜；</w:t>
      </w:r>
    </w:p>
    <w:p>
      <w:pPr>
        <w:spacing w:before="120" w:after="120" w:line="288" w:lineRule="auto"/>
        <w:ind w:left="0"/>
        <w:jc w:val="left"/>
      </w:pPr>
      <w:r>
        <w:rPr>
          <w:rFonts w:eastAsia="等线" w:ascii="Arial" w:cs="Arial" w:hAnsi="Arial"/>
          <w:sz w:val="22"/>
        </w:rPr>
        <w:t>C) 大气压强:86kPa~106kPa。</w:t>
      </w:r>
    </w:p>
    <w:p>
      <w:pPr>
        <w:pStyle w:val="3"/>
        <w:spacing w:before="300" w:after="120" w:line="288" w:lineRule="auto"/>
        <w:ind w:left="0"/>
        <w:jc w:val="left"/>
        <w:outlineLvl w:val="2"/>
      </w:pPr>
      <w:bookmarkStart w:name="heading_19" w:id="19"/>
      <w:r>
        <w:rPr>
          <w:rFonts w:eastAsia="等线" w:ascii="Arial" w:cs="Arial" w:hAnsi="Arial"/>
          <w:b w:val="true"/>
          <w:sz w:val="30"/>
        </w:rPr>
        <w:t>5.2 定位精度检测</w:t>
      </w:r>
      <w:bookmarkEnd w:id="19"/>
    </w:p>
    <w:p>
      <w:pPr>
        <w:spacing w:before="120" w:after="120" w:line="288" w:lineRule="auto"/>
        <w:ind w:left="0"/>
        <w:jc w:val="left"/>
      </w:pPr>
      <w:r>
        <w:rPr>
          <w:rFonts w:eastAsia="等线" w:ascii="Arial" w:cs="Arial" w:hAnsi="Arial"/>
          <w:sz w:val="22"/>
        </w:rPr>
        <w:t>5.2.1 检测设备:激光干涉仪</w:t>
      </w:r>
    </w:p>
    <w:p>
      <w:pPr>
        <w:spacing w:before="120" w:after="120" w:line="288" w:lineRule="auto"/>
        <w:ind w:left="0"/>
        <w:jc w:val="left"/>
      </w:pPr>
      <w:r>
        <w:rPr>
          <w:rFonts w:eastAsia="等线" w:ascii="Arial" w:cs="Arial" w:hAnsi="Arial"/>
          <w:sz w:val="22"/>
        </w:rPr>
        <w:t>5.2.2 检测方法:定位精度一般在机床和工作台空载条件下进行。沿平行于坐标轴的某一测量轴线选取任意定位点(一般为5~15个)，然后对每个定位点重复进行多次定位(一般为5~13次)。可单向趋近定位点，也可以从两个方向分别趋近，然后对测量数据进行统计处理，求出算术平均值。进而求出平均值偏差、标准差、分散度。分散度代表重复定位精度，它和平均值偏差一起构成定位精度，两者之和是在任意两点间定位时可能达到的最大定位偏差。</w:t>
      </w:r>
    </w:p>
    <w:p>
      <w:pPr>
        <w:pStyle w:val="3"/>
        <w:spacing w:before="300" w:after="120" w:line="288" w:lineRule="auto"/>
        <w:ind w:left="0"/>
        <w:jc w:val="left"/>
        <w:outlineLvl w:val="2"/>
      </w:pPr>
      <w:bookmarkStart w:name="heading_20" w:id="20"/>
      <w:r>
        <w:rPr>
          <w:rFonts w:eastAsia="等线" w:ascii="Arial" w:cs="Arial" w:hAnsi="Arial"/>
          <w:b w:val="true"/>
          <w:sz w:val="30"/>
        </w:rPr>
        <w:t>5.3 重复定位精度检测</w:t>
      </w:r>
      <w:bookmarkEnd w:id="20"/>
    </w:p>
    <w:p>
      <w:pPr>
        <w:spacing w:before="120" w:after="120" w:line="288" w:lineRule="auto"/>
        <w:ind w:left="0"/>
        <w:jc w:val="left"/>
      </w:pPr>
      <w:r>
        <w:rPr>
          <w:rFonts w:eastAsia="等线" w:ascii="Arial" w:cs="Arial" w:hAnsi="Arial"/>
          <w:sz w:val="22"/>
        </w:rPr>
        <w:t>5.3.1 检测设备:激光干涉仪</w:t>
      </w:r>
    </w:p>
    <w:p>
      <w:pPr>
        <w:spacing w:before="120" w:after="120" w:line="288" w:lineRule="auto"/>
        <w:ind w:left="0"/>
        <w:jc w:val="left"/>
      </w:pPr>
      <w:r>
        <w:rPr>
          <w:rFonts w:eastAsia="等线" w:ascii="Arial" w:cs="Arial" w:hAnsi="Arial"/>
          <w:sz w:val="22"/>
        </w:rPr>
        <w:t>5.3.2 检测方法:在靠近行程中点及两端的任意三个位置进行测量。每个位置用快速移动定位，在相同条件下重复七次定位，测出停止运动位置数值并求出读数最大差值。以三个位置中最大一个差值的一半作为重复定位误差。</w:t>
      </w:r>
    </w:p>
    <w:p>
      <w:pPr>
        <w:pStyle w:val="3"/>
        <w:spacing w:before="300" w:after="120" w:line="288" w:lineRule="auto"/>
        <w:ind w:left="0"/>
        <w:jc w:val="left"/>
        <w:outlineLvl w:val="2"/>
      </w:pPr>
      <w:bookmarkStart w:name="heading_21" w:id="21"/>
      <w:r>
        <w:rPr>
          <w:rFonts w:eastAsia="等线" w:ascii="Arial" w:cs="Arial" w:hAnsi="Arial"/>
          <w:b w:val="true"/>
          <w:sz w:val="30"/>
        </w:rPr>
        <w:t>5.4 主轴油液系统检测</w:t>
      </w:r>
      <w:bookmarkEnd w:id="21"/>
    </w:p>
    <w:p>
      <w:pPr>
        <w:spacing w:before="120" w:after="120" w:line="288" w:lineRule="auto"/>
        <w:ind w:left="0"/>
        <w:jc w:val="left"/>
      </w:pPr>
      <w:r>
        <w:rPr>
          <w:rFonts w:eastAsia="等线" w:ascii="Arial" w:cs="Arial" w:hAnsi="Arial"/>
          <w:sz w:val="22"/>
        </w:rPr>
        <w:t>5.4.1 检测设备:无</w:t>
      </w:r>
    </w:p>
    <w:p>
      <w:pPr>
        <w:spacing w:before="120" w:after="120" w:line="288" w:lineRule="auto"/>
        <w:ind w:left="0"/>
        <w:jc w:val="left"/>
      </w:pPr>
      <w:r>
        <w:rPr>
          <w:rFonts w:eastAsia="等线" w:ascii="Arial" w:cs="Arial" w:hAnsi="Arial"/>
          <w:sz w:val="22"/>
        </w:rPr>
        <w:t>5.4.2 检验方法:油泵正常工作时，主轴箱油压表应有读数。</w:t>
      </w:r>
    </w:p>
    <w:p>
      <w:pPr>
        <w:pStyle w:val="2"/>
        <w:spacing w:before="320" w:after="120" w:line="288" w:lineRule="auto"/>
        <w:ind w:left="0"/>
        <w:jc w:val="left"/>
        <w:outlineLvl w:val="1"/>
      </w:pPr>
      <w:bookmarkStart w:name="heading_22" w:id="22"/>
      <w:r>
        <w:rPr>
          <w:rFonts w:eastAsia="等线" w:ascii="Arial" w:cs="Arial" w:hAnsi="Arial"/>
          <w:b w:val="true"/>
          <w:sz w:val="32"/>
        </w:rPr>
        <w:t>6 检验规则</w:t>
      </w:r>
      <w:bookmarkEnd w:id="22"/>
    </w:p>
    <w:p>
      <w:pPr>
        <w:pStyle w:val="3"/>
        <w:spacing w:before="300" w:after="120" w:line="288" w:lineRule="auto"/>
        <w:ind w:left="0"/>
        <w:jc w:val="left"/>
        <w:outlineLvl w:val="2"/>
      </w:pPr>
      <w:bookmarkStart w:name="heading_23" w:id="23"/>
      <w:r>
        <w:rPr>
          <w:rFonts w:eastAsia="等线" w:ascii="Arial" w:cs="Arial" w:hAnsi="Arial"/>
          <w:b w:val="true"/>
          <w:sz w:val="30"/>
        </w:rPr>
        <w:t>6.1 检验分类</w:t>
      </w:r>
      <w:bookmarkEnd w:id="23"/>
    </w:p>
    <w:p>
      <w:pPr>
        <w:pStyle w:val="4"/>
        <w:spacing w:before="260" w:after="120" w:line="288" w:lineRule="auto"/>
        <w:ind w:left="0"/>
        <w:jc w:val="left"/>
        <w:outlineLvl w:val="3"/>
      </w:pPr>
      <w:bookmarkStart w:name="heading_24" w:id="24"/>
      <w:r>
        <w:rPr>
          <w:rFonts w:eastAsia="等线" w:ascii="Arial" w:cs="Arial" w:hAnsi="Arial"/>
          <w:b w:val="true"/>
          <w:sz w:val="28"/>
        </w:rPr>
        <w:t>6.1.1 定型检验</w:t>
      </w:r>
      <w:bookmarkEnd w:id="24"/>
    </w:p>
    <w:p>
      <w:pPr>
        <w:spacing w:before="120" w:after="120" w:line="288" w:lineRule="auto"/>
        <w:ind w:left="0"/>
        <w:jc w:val="left"/>
      </w:pPr>
      <w:r>
        <w:rPr>
          <w:rFonts w:eastAsia="等线" w:ascii="Arial" w:cs="Arial" w:hAnsi="Arial"/>
          <w:sz w:val="22"/>
        </w:rPr>
        <w:t>A) 产品在设计、生产定型(或产品鉴定)时，应通过定型检验；</w:t>
      </w:r>
    </w:p>
    <w:p>
      <w:pPr>
        <w:spacing w:before="120" w:after="120" w:line="288" w:lineRule="auto"/>
        <w:ind w:left="0"/>
        <w:jc w:val="left"/>
      </w:pPr>
      <w:r>
        <w:rPr>
          <w:rFonts w:eastAsia="等线" w:ascii="Arial" w:cs="Arial" w:hAnsi="Arial"/>
          <w:sz w:val="22"/>
        </w:rPr>
        <w:t>B) 定型检验的项目为外观、定位精度、重复定位精度、油液系统；</w:t>
      </w:r>
    </w:p>
    <w:p>
      <w:pPr>
        <w:spacing w:before="120" w:after="120" w:line="288" w:lineRule="auto"/>
        <w:ind w:left="0"/>
        <w:jc w:val="left"/>
      </w:pPr>
      <w:r>
        <w:rPr>
          <w:rFonts w:eastAsia="等线" w:ascii="Arial" w:cs="Arial" w:hAnsi="Arial"/>
          <w:sz w:val="22"/>
        </w:rPr>
        <w:t>C) 定型检验后，检验单位应提交定型检验报告，并按本标准对检验结果做出评定。</w:t>
      </w:r>
    </w:p>
    <w:p>
      <w:pPr>
        <w:pStyle w:val="4"/>
        <w:spacing w:before="260" w:after="120" w:line="288" w:lineRule="auto"/>
        <w:ind w:left="0"/>
        <w:jc w:val="left"/>
        <w:outlineLvl w:val="3"/>
      </w:pPr>
      <w:bookmarkStart w:name="heading_25" w:id="25"/>
      <w:r>
        <w:rPr>
          <w:rFonts w:eastAsia="等线" w:ascii="Arial" w:cs="Arial" w:hAnsi="Arial"/>
          <w:b w:val="true"/>
          <w:sz w:val="28"/>
        </w:rPr>
        <w:t>6.1.2 出厂检验</w:t>
      </w:r>
      <w:bookmarkEnd w:id="25"/>
    </w:p>
    <w:p>
      <w:pPr>
        <w:spacing w:before="120" w:after="120" w:line="288" w:lineRule="auto"/>
        <w:ind w:left="0"/>
        <w:jc w:val="left"/>
      </w:pPr>
      <w:r>
        <w:rPr>
          <w:rFonts w:eastAsia="等线" w:ascii="Arial" w:cs="Arial" w:hAnsi="Arial"/>
          <w:sz w:val="22"/>
        </w:rPr>
        <w:t>A) 已定型生产的产品出厂时，每台均应通过质量检验部门的出厂检验合格后，方能出货。</w:t>
      </w:r>
    </w:p>
    <w:p>
      <w:pPr>
        <w:spacing w:before="120" w:after="120" w:line="288" w:lineRule="auto"/>
        <w:ind w:left="0"/>
        <w:jc w:val="left"/>
      </w:pPr>
      <w:r>
        <w:rPr>
          <w:rFonts w:eastAsia="等线" w:ascii="Arial" w:cs="Arial" w:hAnsi="Arial"/>
          <w:sz w:val="22"/>
        </w:rPr>
        <w:t>B) 出厂检验的项目为外观、定位精度、重复定位精度、油液系统等。</w:t>
      </w:r>
    </w:p>
    <w:p>
      <w:pPr>
        <w:spacing w:before="120" w:after="120" w:line="288" w:lineRule="auto"/>
        <w:ind w:left="0"/>
        <w:jc w:val="left"/>
      </w:pPr>
      <w:r>
        <w:rPr>
          <w:rFonts w:eastAsia="等线" w:ascii="Arial" w:cs="Arial" w:hAnsi="Arial"/>
          <w:sz w:val="22"/>
        </w:rPr>
        <w:t>C) 出厂检验应按本标准结果做出评定。</w:t>
      </w:r>
    </w:p>
    <w:p>
      <w:pPr>
        <w:spacing w:before="120" w:after="120" w:line="288" w:lineRule="auto"/>
        <w:ind w:left="0"/>
        <w:jc w:val="left"/>
      </w:pPr>
      <w:r>
        <w:rPr>
          <w:rFonts w:eastAsia="等线" w:ascii="Arial" w:cs="Arial" w:hAnsi="Arial"/>
          <w:sz w:val="22"/>
        </w:rPr>
        <w:t>D) 检验合格后，检验部门应提交检验报告和合格证明书。</w:t>
      </w:r>
    </w:p>
    <w:p>
      <w:pPr>
        <w:pStyle w:val="4"/>
        <w:spacing w:before="260" w:after="120" w:line="288" w:lineRule="auto"/>
        <w:ind w:left="0"/>
        <w:jc w:val="left"/>
        <w:outlineLvl w:val="3"/>
      </w:pPr>
      <w:bookmarkStart w:name="heading_26" w:id="26"/>
      <w:r>
        <w:rPr>
          <w:rFonts w:eastAsia="等线" w:ascii="Arial" w:cs="Arial" w:hAnsi="Arial"/>
          <w:b w:val="true"/>
          <w:sz w:val="28"/>
        </w:rPr>
        <w:t>6.1.3 型式检验</w:t>
      </w:r>
      <w:bookmarkEnd w:id="26"/>
    </w:p>
    <w:p>
      <w:pPr>
        <w:spacing w:before="120" w:after="120" w:line="288" w:lineRule="auto"/>
        <w:ind w:left="0"/>
        <w:jc w:val="left"/>
      </w:pPr>
      <w:r>
        <w:rPr>
          <w:rFonts w:eastAsia="等线" w:ascii="Arial" w:cs="Arial" w:hAnsi="Arial"/>
          <w:sz w:val="22"/>
        </w:rPr>
        <w:t>A) 批量生产的产品应定期进行型式检验(一般为每半年一次)。当更改重要设计和工艺时，也应进行型式检验。</w:t>
      </w:r>
    </w:p>
    <w:p>
      <w:pPr>
        <w:spacing w:before="120" w:after="120" w:line="288" w:lineRule="auto"/>
        <w:ind w:left="0"/>
        <w:jc w:val="left"/>
      </w:pPr>
      <w:r>
        <w:rPr>
          <w:rFonts w:eastAsia="等线" w:ascii="Arial" w:cs="Arial" w:hAnsi="Arial"/>
          <w:sz w:val="22"/>
        </w:rPr>
        <w:t>B) 型式检验的项目为外观、定位精度、重复定位精度、油液系统；</w:t>
      </w:r>
    </w:p>
    <w:p>
      <w:pPr>
        <w:spacing w:before="120" w:after="120" w:line="288" w:lineRule="auto"/>
        <w:ind w:left="0"/>
        <w:jc w:val="left"/>
      </w:pPr>
      <w:r>
        <w:rPr>
          <w:rFonts w:eastAsia="等线" w:ascii="Arial" w:cs="Arial" w:hAnsi="Arial"/>
          <w:sz w:val="22"/>
        </w:rPr>
        <w:t>C) 型式检验后，检验部门应提交检验报告，并按本标准对检验结果做出评定。</w:t>
      </w:r>
    </w:p>
    <w:p>
      <w:pPr>
        <w:pStyle w:val="3"/>
        <w:spacing w:before="300" w:after="120" w:line="288" w:lineRule="auto"/>
        <w:ind w:left="0"/>
        <w:jc w:val="left"/>
        <w:outlineLvl w:val="2"/>
      </w:pPr>
      <w:bookmarkStart w:name="heading_27" w:id="27"/>
      <w:r>
        <w:rPr>
          <w:rFonts w:eastAsia="等线" w:ascii="Arial" w:cs="Arial" w:hAnsi="Arial"/>
          <w:b w:val="true"/>
          <w:sz w:val="30"/>
        </w:rPr>
        <w:t>6.2 产品质量特性重要度及判定规则</w:t>
      </w:r>
      <w:bookmarkEnd w:id="27"/>
    </w:p>
    <w:p>
      <w:pPr>
        <w:pStyle w:val="4"/>
        <w:spacing w:before="260" w:after="120" w:line="288" w:lineRule="auto"/>
        <w:ind w:left="0"/>
        <w:jc w:val="left"/>
        <w:outlineLvl w:val="3"/>
      </w:pPr>
      <w:bookmarkStart w:name="heading_28" w:id="28"/>
      <w:r>
        <w:rPr>
          <w:rFonts w:eastAsia="等线" w:ascii="Arial" w:cs="Arial" w:hAnsi="Arial"/>
          <w:b w:val="true"/>
          <w:sz w:val="28"/>
        </w:rPr>
        <w:t>6.2.1 产品质量特性重要度</w:t>
      </w:r>
      <w:bookmarkEnd w:id="28"/>
    </w:p>
    <w:p>
      <w:pPr>
        <w:spacing w:before="120" w:after="120" w:line="288" w:lineRule="auto"/>
        <w:ind w:left="0"/>
        <w:jc w:val="left"/>
      </w:pPr>
      <w:r>
        <w:rPr>
          <w:rFonts w:eastAsia="等线" w:ascii="Arial" w:cs="Arial" w:hAnsi="Arial"/>
          <w:sz w:val="22"/>
        </w:rPr>
        <w:t>在产品质量判定规则中，按JB/T 5058—2006引入产品质量特性重要度(简称“重要度”)。</w:t>
      </w:r>
    </w:p>
    <w:p>
      <w:pPr>
        <w:spacing w:before="120" w:after="120" w:line="288" w:lineRule="auto"/>
        <w:ind w:left="0"/>
        <w:jc w:val="left"/>
      </w:pPr>
      <w:r>
        <w:rPr>
          <w:rFonts w:eastAsia="等线" w:ascii="Arial" w:cs="Arial" w:hAnsi="Arial"/>
          <w:sz w:val="22"/>
        </w:rPr>
        <w:t>重要度即为标准中有关质量要求的内容体现在产品的重要度(也指影响产品实用性的重要程度)，重要度分为a、b两级。</w:t>
      </w:r>
    </w:p>
    <w:p>
      <w:pPr>
        <w:spacing w:before="120" w:after="120" w:line="288" w:lineRule="auto"/>
        <w:ind w:left="0"/>
        <w:jc w:val="left"/>
      </w:pPr>
      <w:r>
        <w:rPr>
          <w:rFonts w:eastAsia="等线" w:ascii="Arial" w:cs="Arial" w:hAnsi="Arial"/>
          <w:sz w:val="22"/>
        </w:rPr>
        <w:t>A) a级重要度：将直接影响性能、抗扰度或直接危及人身安全的关键项目列入a级重要度；</w:t>
      </w:r>
    </w:p>
    <w:p>
      <w:pPr>
        <w:spacing w:before="120" w:after="120" w:line="288" w:lineRule="auto"/>
        <w:ind w:left="0"/>
        <w:jc w:val="left"/>
      </w:pPr>
      <w:r>
        <w:rPr>
          <w:rFonts w:eastAsia="等线" w:ascii="Arial" w:cs="Arial" w:hAnsi="Arial"/>
          <w:sz w:val="22"/>
        </w:rPr>
        <w:t>B) b级重要度：将对产品使用无直接影响或影响不大，且在质量指标中有独立特征的有关检验列入b级重要度。</w:t>
      </w:r>
    </w:p>
    <w:p>
      <w:pPr>
        <w:pStyle w:val="4"/>
        <w:spacing w:before="260" w:after="120" w:line="288" w:lineRule="auto"/>
        <w:ind w:left="0"/>
        <w:jc w:val="left"/>
        <w:outlineLvl w:val="3"/>
      </w:pPr>
      <w:bookmarkStart w:name="heading_29" w:id="29"/>
      <w:r>
        <w:rPr>
          <w:rFonts w:eastAsia="等线" w:ascii="Arial" w:cs="Arial" w:hAnsi="Arial"/>
          <w:b w:val="true"/>
          <w:sz w:val="28"/>
        </w:rPr>
        <w:t>6.2.2 产品质量判定规则</w:t>
      </w:r>
      <w:bookmarkEnd w:id="29"/>
    </w:p>
    <w:p>
      <w:pPr>
        <w:spacing w:before="120" w:after="120" w:line="288" w:lineRule="auto"/>
        <w:ind w:left="0"/>
        <w:jc w:val="left"/>
      </w:pPr>
      <w:r>
        <w:rPr>
          <w:rFonts w:eastAsia="等线" w:ascii="Arial" w:cs="Arial" w:hAnsi="Arial"/>
          <w:sz w:val="22"/>
        </w:rPr>
        <w:t>产品质量判定规则确定为:</w:t>
      </w:r>
    </w:p>
    <w:p>
      <w:pPr>
        <w:spacing w:before="120" w:after="120" w:line="288" w:lineRule="auto"/>
        <w:ind w:left="0"/>
        <w:jc w:val="left"/>
      </w:pPr>
      <w:r>
        <w:rPr>
          <w:rFonts w:eastAsia="等线" w:ascii="Arial" w:cs="Arial" w:hAnsi="Arial"/>
          <w:sz w:val="22"/>
        </w:rPr>
        <w:t>A) 在定型检验、出厂检验及型式检验的过程中，当出现任一故障或任一项检验项目不能通过时，应查明故障原因，排除故障后重新进行项目检验(如对已试验完的项目有影响，则应从有影响的项目开始)。若再次出现故障或该项目通不过时，按上述规定允许再进行一次故障排除后检验；</w:t>
      </w:r>
    </w:p>
    <w:p>
      <w:pPr>
        <w:spacing w:before="120" w:after="120" w:line="288" w:lineRule="auto"/>
        <w:ind w:left="0"/>
        <w:jc w:val="left"/>
      </w:pPr>
      <w:r>
        <w:rPr>
          <w:rFonts w:eastAsia="等线" w:ascii="Arial" w:cs="Arial" w:hAnsi="Arial"/>
          <w:sz w:val="22"/>
        </w:rPr>
        <w:t>B) 对列入a级重要度的检验项目，即使出现轻微缺陷，亦判定为不合格品；</w:t>
      </w:r>
    </w:p>
    <w:p>
      <w:pPr>
        <w:spacing w:before="120" w:after="120" w:line="288" w:lineRule="auto"/>
        <w:ind w:left="0"/>
        <w:jc w:val="left"/>
      </w:pPr>
      <w:r>
        <w:rPr>
          <w:rFonts w:eastAsia="等线" w:ascii="Arial" w:cs="Arial" w:hAnsi="Arial"/>
          <w:sz w:val="22"/>
        </w:rPr>
        <w:t>C) 两个b级重要度的检验项目相当于一个a级重要度，即对列入b级重要度的检验项目，若出现两个或两个以上的轻微缺陷，亦判定为不合格品。</w:t>
      </w:r>
    </w:p>
    <w:p>
      <w:pPr>
        <w:pStyle w:val="3"/>
        <w:spacing w:before="300" w:after="120" w:line="288" w:lineRule="auto"/>
        <w:ind w:left="0"/>
        <w:jc w:val="left"/>
        <w:outlineLvl w:val="2"/>
      </w:pPr>
      <w:bookmarkStart w:name="heading_30" w:id="30"/>
      <w:r>
        <w:rPr>
          <w:rFonts w:eastAsia="等线" w:ascii="Arial" w:cs="Arial" w:hAnsi="Arial"/>
          <w:b w:val="true"/>
          <w:sz w:val="30"/>
        </w:rPr>
        <w:t>6.3 检验顺序</w:t>
      </w:r>
      <w:bookmarkEnd w:id="30"/>
    </w:p>
    <w:p>
      <w:pPr>
        <w:spacing w:before="120" w:after="120" w:line="288" w:lineRule="auto"/>
        <w:ind w:left="0"/>
        <w:jc w:val="left"/>
      </w:pPr>
      <w:r>
        <w:rPr>
          <w:rFonts w:eastAsia="等线" w:ascii="Arial" w:cs="Arial" w:hAnsi="Arial"/>
          <w:sz w:val="22"/>
        </w:rPr>
        <w:t>产品的检验(实验)顺序应按外观、定位精度、重复定位精度、油液系统进行检验。</w:t>
      </w:r>
    </w:p>
    <w:p>
      <w:pPr>
        <w:pStyle w:val="2"/>
        <w:spacing w:before="320" w:after="120" w:line="288" w:lineRule="auto"/>
        <w:ind w:left="0"/>
        <w:jc w:val="left"/>
        <w:outlineLvl w:val="1"/>
      </w:pPr>
      <w:bookmarkStart w:name="heading_31" w:id="31"/>
      <w:r>
        <w:rPr>
          <w:rFonts w:eastAsia="等线" w:ascii="Arial" w:cs="Arial" w:hAnsi="Arial"/>
          <w:b w:val="true"/>
          <w:sz w:val="32"/>
        </w:rPr>
        <w:t>7 标志、包装、运输与贮存</w:t>
      </w:r>
      <w:bookmarkEnd w:id="31"/>
    </w:p>
    <w:p>
      <w:pPr>
        <w:pStyle w:val="3"/>
        <w:spacing w:before="300" w:after="120" w:line="288" w:lineRule="auto"/>
        <w:ind w:left="0"/>
        <w:jc w:val="left"/>
        <w:outlineLvl w:val="2"/>
      </w:pPr>
      <w:bookmarkStart w:name="heading_32" w:id="32"/>
      <w:r>
        <w:rPr>
          <w:rFonts w:eastAsia="等线" w:ascii="Arial" w:cs="Arial" w:hAnsi="Arial"/>
          <w:b w:val="true"/>
          <w:sz w:val="30"/>
        </w:rPr>
        <w:t>7.1 产品铭牌</w:t>
      </w:r>
      <w:bookmarkEnd w:id="32"/>
    </w:p>
    <w:p>
      <w:pPr>
        <w:spacing w:before="120" w:after="120" w:line="288" w:lineRule="auto"/>
        <w:ind w:left="0"/>
        <w:jc w:val="left"/>
      </w:pPr>
      <w:r>
        <w:rPr>
          <w:rFonts w:eastAsia="等线" w:ascii="Arial" w:cs="Arial" w:hAnsi="Arial"/>
          <w:sz w:val="22"/>
        </w:rPr>
        <w:t>产品标志包括注册商标、产品型号及名称、执行标准号、生产制造厂商名称、地址及通讯等内容；产品标志出现在使用文件或包装箱面的适宜位置。</w:t>
      </w:r>
    </w:p>
    <w:p>
      <w:pPr>
        <w:pStyle w:val="3"/>
        <w:spacing w:before="300" w:after="120" w:line="288" w:lineRule="auto"/>
        <w:ind w:left="0"/>
        <w:jc w:val="left"/>
        <w:outlineLvl w:val="2"/>
      </w:pPr>
      <w:bookmarkStart w:name="heading_33" w:id="33"/>
      <w:r>
        <w:rPr>
          <w:rFonts w:eastAsia="等线" w:ascii="Arial" w:cs="Arial" w:hAnsi="Arial"/>
          <w:b w:val="true"/>
          <w:sz w:val="30"/>
        </w:rPr>
        <w:t>7.2 产品标签</w:t>
      </w:r>
      <w:bookmarkEnd w:id="33"/>
    </w:p>
    <w:p>
      <w:pPr>
        <w:spacing w:before="120" w:after="120" w:line="288" w:lineRule="auto"/>
        <w:ind w:left="0"/>
        <w:jc w:val="left"/>
      </w:pPr>
      <w:r>
        <w:rPr>
          <w:rFonts w:eastAsia="等线" w:ascii="Arial" w:cs="Arial" w:hAnsi="Arial"/>
          <w:sz w:val="22"/>
        </w:rPr>
        <w:t>产品标签包括注册商标、型号、名称、制造日期、额定电压、相数、额定电流(或额定功率)等内容，其文字要清晰，美观、耐久。产品标签铭牌的固定(或张贴)应牢固，易于观察。</w:t>
      </w:r>
    </w:p>
    <w:p>
      <w:pPr>
        <w:pStyle w:val="3"/>
        <w:spacing w:before="300" w:after="120" w:line="288" w:lineRule="auto"/>
        <w:ind w:left="0"/>
        <w:jc w:val="left"/>
        <w:outlineLvl w:val="2"/>
      </w:pPr>
      <w:bookmarkStart w:name="heading_34" w:id="34"/>
      <w:r>
        <w:rPr>
          <w:rFonts w:eastAsia="等线" w:ascii="Arial" w:cs="Arial" w:hAnsi="Arial"/>
          <w:b w:val="true"/>
          <w:sz w:val="30"/>
        </w:rPr>
        <w:t>7.3 包装</w:t>
      </w:r>
      <w:bookmarkEnd w:id="34"/>
    </w:p>
    <w:p>
      <w:pPr>
        <w:pStyle w:val="4"/>
        <w:spacing w:before="260" w:after="120" w:line="288" w:lineRule="auto"/>
        <w:ind w:left="0"/>
        <w:jc w:val="left"/>
        <w:outlineLvl w:val="3"/>
      </w:pPr>
      <w:bookmarkStart w:name="heading_35" w:id="35"/>
      <w:r>
        <w:rPr>
          <w:rFonts w:eastAsia="等线" w:ascii="Arial" w:cs="Arial" w:hAnsi="Arial"/>
          <w:b w:val="true"/>
          <w:sz w:val="28"/>
        </w:rPr>
        <w:t>7.3.1 包装方式</w:t>
      </w:r>
      <w:bookmarkEnd w:id="35"/>
    </w:p>
    <w:p>
      <w:pPr>
        <w:spacing w:before="120" w:after="120" w:line="288" w:lineRule="auto"/>
        <w:ind w:left="0"/>
        <w:jc w:val="left"/>
      </w:pPr>
      <w:r>
        <w:rPr>
          <w:rFonts w:eastAsia="等线" w:ascii="Arial" w:cs="Arial" w:hAnsi="Arial"/>
          <w:sz w:val="22"/>
        </w:rPr>
        <w:t>包装技术要求如下:</w:t>
      </w:r>
    </w:p>
    <w:p>
      <w:pPr>
        <w:spacing w:before="120" w:after="120" w:line="288" w:lineRule="auto"/>
        <w:ind w:left="0"/>
        <w:jc w:val="left"/>
      </w:pPr>
      <w:r>
        <w:rPr>
          <w:rFonts w:eastAsia="等线" w:ascii="Arial" w:cs="Arial" w:hAnsi="Arial"/>
          <w:sz w:val="22"/>
        </w:rPr>
        <w:t>A) 产品包装应符合GB/T 13384的通用技术要求。产品的包装方式，其技术要求应符合GB/T 6543、GB/T 6544的规定；</w:t>
      </w:r>
    </w:p>
    <w:p>
      <w:pPr>
        <w:spacing w:before="120" w:after="120" w:line="288" w:lineRule="auto"/>
        <w:ind w:left="0"/>
        <w:jc w:val="left"/>
      </w:pPr>
      <w:r>
        <w:rPr>
          <w:rFonts w:eastAsia="等线" w:ascii="Arial" w:cs="Arial" w:hAnsi="Arial"/>
          <w:sz w:val="22"/>
        </w:rPr>
        <w:t>B) 包装箱应牢固可靠，并应具有防潮、防碰撞的措施。</w:t>
      </w:r>
    </w:p>
    <w:p>
      <w:pPr>
        <w:pStyle w:val="4"/>
        <w:spacing w:before="260" w:after="120" w:line="288" w:lineRule="auto"/>
        <w:ind w:left="0"/>
        <w:jc w:val="left"/>
        <w:outlineLvl w:val="3"/>
      </w:pPr>
      <w:bookmarkStart w:name="heading_36" w:id="36"/>
      <w:r>
        <w:rPr>
          <w:rFonts w:eastAsia="等线" w:ascii="Arial" w:cs="Arial" w:hAnsi="Arial"/>
          <w:b w:val="true"/>
          <w:sz w:val="28"/>
        </w:rPr>
        <w:t>7.3.2 包装箱面标志</w:t>
      </w:r>
      <w:bookmarkEnd w:id="36"/>
    </w:p>
    <w:p>
      <w:pPr>
        <w:spacing w:before="120" w:after="120" w:line="288" w:lineRule="auto"/>
        <w:ind w:left="0"/>
        <w:jc w:val="left"/>
      </w:pPr>
      <w:r>
        <w:rPr>
          <w:rFonts w:eastAsia="等线" w:ascii="Arial" w:cs="Arial" w:hAnsi="Arial"/>
          <w:sz w:val="22"/>
        </w:rPr>
        <w:t>包装箱箱面标志应符合GB/T 191的规定，一般应具有“小心轻放、向上、怕雨、堆码层数极限”等图像标志。</w:t>
      </w:r>
    </w:p>
    <w:p>
      <w:pPr>
        <w:spacing w:before="120" w:after="120" w:line="288" w:lineRule="auto"/>
        <w:ind w:left="0"/>
        <w:jc w:val="left"/>
      </w:pPr>
      <w:r>
        <w:rPr>
          <w:rFonts w:eastAsia="等线" w:ascii="Arial" w:cs="Arial" w:hAnsi="Arial"/>
          <w:sz w:val="22"/>
        </w:rPr>
        <w:t>包装箱箱面应印刷(或注明):“产品型号、名称、出厂编号、数量、发货单位、收货单位、发站(港)、到站(港)、重量、尺寸”等内容。</w:t>
      </w:r>
    </w:p>
    <w:p>
      <w:pPr>
        <w:pStyle w:val="4"/>
        <w:spacing w:before="260" w:after="120" w:line="288" w:lineRule="auto"/>
        <w:ind w:left="0"/>
        <w:jc w:val="left"/>
        <w:outlineLvl w:val="3"/>
      </w:pPr>
      <w:bookmarkStart w:name="heading_37" w:id="37"/>
      <w:r>
        <w:rPr>
          <w:rFonts w:eastAsia="等线" w:ascii="Arial" w:cs="Arial" w:hAnsi="Arial"/>
          <w:b w:val="true"/>
          <w:sz w:val="28"/>
        </w:rPr>
        <w:t>7.3.3 包装箱内主机、附件及随行文件</w:t>
      </w:r>
      <w:bookmarkEnd w:id="37"/>
    </w:p>
    <w:p>
      <w:pPr>
        <w:spacing w:before="120" w:after="120" w:line="288" w:lineRule="auto"/>
        <w:ind w:left="0"/>
        <w:jc w:val="left"/>
      </w:pPr>
      <w:r>
        <w:rPr>
          <w:rFonts w:eastAsia="等线" w:ascii="Arial" w:cs="Arial" w:hAnsi="Arial"/>
          <w:sz w:val="22"/>
        </w:rPr>
        <w:t>在包装箱内，按装箱清单清点装齐产品的主机、随行文件、随行附件、电缆，并摆放整齐可靠，同时装入防潮剂，用聚苯乙烯塑料袋进行封装。</w:t>
      </w:r>
    </w:p>
    <w:p>
      <w:pPr>
        <w:pStyle w:val="3"/>
        <w:spacing w:before="300" w:after="120" w:line="288" w:lineRule="auto"/>
        <w:ind w:left="0"/>
        <w:jc w:val="left"/>
        <w:outlineLvl w:val="2"/>
      </w:pPr>
      <w:bookmarkStart w:name="heading_38" w:id="38"/>
      <w:r>
        <w:rPr>
          <w:rFonts w:eastAsia="等线" w:ascii="Arial" w:cs="Arial" w:hAnsi="Arial"/>
          <w:b w:val="true"/>
          <w:sz w:val="30"/>
        </w:rPr>
        <w:t>7.4 运输</w:t>
      </w:r>
      <w:bookmarkEnd w:id="38"/>
    </w:p>
    <w:p>
      <w:pPr>
        <w:spacing w:before="120" w:after="120" w:line="288" w:lineRule="auto"/>
        <w:ind w:left="0"/>
        <w:jc w:val="left"/>
      </w:pPr>
      <w:r>
        <w:rPr>
          <w:rFonts w:eastAsia="等线" w:ascii="Arial" w:cs="Arial" w:hAnsi="Arial"/>
          <w:sz w:val="22"/>
        </w:rPr>
        <w:t>包装好的产品应能适应公路、铁路、海运、航空等运输方式，产品不应置于露天环境中进行运输，注意防雨雪、防尘和机械损伤。</w:t>
      </w:r>
    </w:p>
    <w:p>
      <w:pPr>
        <w:pStyle w:val="3"/>
        <w:spacing w:before="300" w:after="120" w:line="288" w:lineRule="auto"/>
        <w:ind w:left="0"/>
        <w:jc w:val="left"/>
        <w:outlineLvl w:val="2"/>
      </w:pPr>
      <w:bookmarkStart w:name="heading_39" w:id="39"/>
      <w:r>
        <w:rPr>
          <w:rFonts w:eastAsia="等线" w:ascii="Arial" w:cs="Arial" w:hAnsi="Arial"/>
          <w:b w:val="true"/>
          <w:sz w:val="30"/>
        </w:rPr>
        <w:t>7.5 贮存</w:t>
      </w:r>
      <w:bookmarkEnd w:id="39"/>
    </w:p>
    <w:p>
      <w:pPr>
        <w:spacing w:before="120" w:after="120" w:line="288" w:lineRule="auto"/>
        <w:ind w:left="0"/>
        <w:jc w:val="left"/>
      </w:pPr>
      <w:r>
        <w:rPr>
          <w:rFonts w:eastAsia="等线" w:ascii="Arial" w:cs="Arial" w:hAnsi="Arial"/>
          <w:sz w:val="22"/>
        </w:rPr>
        <w:t>产品应放置在(0—40℃)通风、干燥的库房内，周围应避免强磁场及有害气体等；产品不得堆放。</w:t>
      </w:r>
    </w:p>
    <w:p>
      <w:pPr>
        <w:pStyle w:val="1"/>
        <w:spacing w:before="380" w:after="140" w:line="288" w:lineRule="auto"/>
        <w:ind w:left="0"/>
        <w:jc w:val="left"/>
        <w:outlineLvl w:val="0"/>
      </w:pPr>
      <w:bookmarkStart w:name="heading_40" w:id="40"/>
      <w:r>
        <w:rPr>
          <w:rFonts w:eastAsia="等线" w:ascii="Arial" w:cs="Arial" w:hAnsi="Arial"/>
          <w:b w:val="true"/>
          <w:sz w:val="36"/>
        </w:rPr>
        <w:t>Q/ZGB 002‑2026 气浮主轴气膜刚度与承载特性检测规范</w:t>
      </w:r>
      <w:bookmarkEnd w:id="40"/>
    </w:p>
    <w:p>
      <w:pPr>
        <w:pStyle w:val="2"/>
        <w:spacing w:before="320" w:after="120" w:line="288" w:lineRule="auto"/>
        <w:ind w:left="0"/>
        <w:jc w:val="left"/>
        <w:outlineLvl w:val="1"/>
      </w:pPr>
      <w:bookmarkStart w:name="heading_41" w:id="41"/>
      <w:r>
        <w:rPr>
          <w:rFonts w:eastAsia="等线" w:ascii="Arial" w:cs="Arial" w:hAnsi="Arial"/>
          <w:b w:val="true"/>
          <w:sz w:val="32"/>
        </w:rPr>
        <w:t>前 言</w:t>
      </w:r>
      <w:bookmarkEnd w:id="41"/>
    </w:p>
    <w:p>
      <w:pPr>
        <w:spacing w:before="120" w:after="120" w:line="288" w:lineRule="auto"/>
        <w:ind w:left="0"/>
        <w:jc w:val="left"/>
      </w:pPr>
      <w:r>
        <w:rPr>
          <w:rFonts w:eastAsia="等线" w:ascii="Arial" w:cs="Arial" w:hAnsi="Arial"/>
          <w:sz w:val="22"/>
        </w:rPr>
        <w:t>本标准参照GB/T 9061‑2006、GB/T 17421.1‑1998、GB/T 40116‑2021、JB/T 13826‑2020给出的规则起草。</w:t>
      </w:r>
    </w:p>
    <w:p>
      <w:pPr>
        <w:spacing w:before="120" w:after="120" w:line="288" w:lineRule="auto"/>
        <w:ind w:left="0"/>
        <w:jc w:val="left"/>
      </w:pPr>
      <w:r>
        <w:rPr>
          <w:rFonts w:eastAsia="等线" w:ascii="Arial" w:cs="Arial" w:hAnsi="Arial"/>
          <w:sz w:val="22"/>
        </w:rPr>
        <w:t>本标准由浙江朱光波机械科技有限公司提出并负责起草。</w:t>
      </w:r>
    </w:p>
    <w:p>
      <w:pPr>
        <w:spacing w:before="120" w:after="120" w:line="288" w:lineRule="auto"/>
        <w:ind w:left="0"/>
        <w:jc w:val="left"/>
      </w:pPr>
      <w:r>
        <w:rPr>
          <w:rFonts w:eastAsia="等线" w:ascii="Arial" w:cs="Arial" w:hAnsi="Arial"/>
          <w:sz w:val="22"/>
        </w:rPr>
        <w:t>本标准主要起草人：朱光波、陈先锋、王晓明。</w:t>
      </w:r>
    </w:p>
    <w:p>
      <w:pPr>
        <w:spacing w:before="120" w:after="120" w:line="288" w:lineRule="auto"/>
        <w:ind w:left="0"/>
        <w:jc w:val="left"/>
      </w:pPr>
      <w:r>
        <w:rPr>
          <w:rFonts w:eastAsia="等线" w:ascii="Arial" w:cs="Arial" w:hAnsi="Arial"/>
          <w:sz w:val="22"/>
        </w:rPr>
        <w:t>本标准2026年XX月XX日首次发布，2026年XX月XX日实施。</w:t>
      </w:r>
    </w:p>
    <w:p>
      <w:pPr>
        <w:pStyle w:val="2"/>
        <w:spacing w:before="320" w:after="120" w:line="288" w:lineRule="auto"/>
        <w:ind w:left="0"/>
        <w:jc w:val="left"/>
        <w:outlineLvl w:val="1"/>
      </w:pPr>
      <w:bookmarkStart w:name="heading_42" w:id="42"/>
      <w:r>
        <w:rPr>
          <w:rFonts w:eastAsia="等线" w:ascii="Arial" w:cs="Arial" w:hAnsi="Arial"/>
          <w:b w:val="true"/>
          <w:sz w:val="32"/>
        </w:rPr>
        <w:t>1 范围</w:t>
      </w:r>
      <w:bookmarkEnd w:id="42"/>
    </w:p>
    <w:p>
      <w:pPr>
        <w:spacing w:before="120" w:after="120" w:line="288" w:lineRule="auto"/>
        <w:ind w:left="0"/>
        <w:jc w:val="left"/>
      </w:pPr>
      <w:r>
        <w:rPr>
          <w:rFonts w:eastAsia="等线" w:ascii="Arial" w:cs="Arial" w:hAnsi="Arial"/>
          <w:sz w:val="22"/>
        </w:rPr>
        <w:t>本标准规定了空气静压气浮主轴气膜刚度、静态承载力、准动态承载特性、滞回特性检测的术语和定义、检测条件、技术要求、试验方法、检验规则、标志、包装、运输及贮存。</w:t>
      </w:r>
    </w:p>
    <w:p>
      <w:pPr>
        <w:spacing w:before="120" w:after="120" w:line="288" w:lineRule="auto"/>
        <w:ind w:left="0"/>
        <w:jc w:val="left"/>
      </w:pPr>
      <w:r>
        <w:rPr>
          <w:rFonts w:eastAsia="等线" w:ascii="Arial" w:cs="Arial" w:hAnsi="Arial"/>
          <w:sz w:val="22"/>
        </w:rPr>
        <w:t>本标准适用于本公司小孔节流、多孔质节流、缝隙节流空气静压气浮主轴径向、轴向气膜刚度与承载性能的出厂检测、型式检测。</w:t>
      </w:r>
    </w:p>
    <w:p>
      <w:pPr>
        <w:spacing w:before="120" w:after="120" w:line="288" w:lineRule="auto"/>
        <w:ind w:left="0"/>
        <w:jc w:val="left"/>
      </w:pPr>
      <w:r>
        <w:rPr>
          <w:rFonts w:eastAsia="等线" w:ascii="Arial" w:cs="Arial" w:hAnsi="Arial"/>
          <w:sz w:val="22"/>
        </w:rPr>
        <w:t>本标准是本公司气浮主轴零部件质量检验、试验验收、对外检测业务的主要技术依据。本标准不适用于气体动压箔片轴承、液体静压主轴。</w:t>
      </w:r>
    </w:p>
    <w:p>
      <w:pPr>
        <w:pStyle w:val="2"/>
        <w:spacing w:before="320" w:after="120" w:line="288" w:lineRule="auto"/>
        <w:ind w:left="0"/>
        <w:jc w:val="left"/>
        <w:outlineLvl w:val="1"/>
      </w:pPr>
      <w:bookmarkStart w:name="heading_43" w:id="43"/>
      <w:r>
        <w:rPr>
          <w:rFonts w:eastAsia="等线" w:ascii="Arial" w:cs="Arial" w:hAnsi="Arial"/>
          <w:b w:val="true"/>
          <w:sz w:val="32"/>
        </w:rPr>
        <w:t>2 规范性引用文件</w:t>
      </w:r>
      <w:bookmarkEnd w:id="43"/>
    </w:p>
    <w:p>
      <w:pPr>
        <w:spacing w:before="120" w:after="120" w:line="288" w:lineRule="auto"/>
        <w:ind w:left="0"/>
        <w:jc w:val="left"/>
      </w:pPr>
      <w:r>
        <w:rPr>
          <w:rFonts w:eastAsia="等线" w:ascii="Arial" w:cs="Arial" w:hAnsi="Arial"/>
          <w:sz w:val="22"/>
        </w:rPr>
        <w:t>下列文件对于本文件的应用是必不可少的。凡是注日期的引用文件，仅所注日期的版本适用于本文件。凡是不注日期的引用文件，其最新版本(包括所有的修改单)适用于本文件。</w:t>
      </w:r>
    </w:p>
    <w:p>
      <w:pPr>
        <w:numPr>
          <w:numId w:val="10"/>
        </w:numPr>
        <w:spacing w:before="120" w:after="120" w:line="288" w:lineRule="auto"/>
        <w:ind w:left="0"/>
        <w:jc w:val="left"/>
      </w:pPr>
      <w:r>
        <w:rPr>
          <w:rFonts w:eastAsia="等线" w:ascii="Arial" w:cs="Arial" w:hAnsi="Arial"/>
          <w:sz w:val="22"/>
        </w:rPr>
        <w:t>GB/T 6075.3 机械振动 在非旋转部件上测量和评价机器振动 第3部分：工业机器</w:t>
      </w:r>
    </w:p>
    <w:p>
      <w:pPr>
        <w:numPr>
          <w:numId w:val="11"/>
        </w:numPr>
        <w:spacing w:before="120" w:after="120" w:line="288" w:lineRule="auto"/>
        <w:ind w:left="0"/>
        <w:jc w:val="left"/>
      </w:pPr>
      <w:r>
        <w:rPr>
          <w:rFonts w:eastAsia="等线" w:ascii="Arial" w:cs="Arial" w:hAnsi="Arial"/>
          <w:sz w:val="22"/>
        </w:rPr>
        <w:t>GB/T 17626.1 电磁兼容 试验和测量技术 抗扰度试验总论</w:t>
      </w:r>
    </w:p>
    <w:p>
      <w:pPr>
        <w:numPr>
          <w:numId w:val="12"/>
        </w:numPr>
        <w:spacing w:before="120" w:after="120" w:line="288" w:lineRule="auto"/>
        <w:ind w:left="0"/>
        <w:jc w:val="left"/>
      </w:pPr>
      <w:r>
        <w:rPr>
          <w:rFonts w:eastAsia="等线" w:ascii="Arial" w:cs="Arial" w:hAnsi="Arial"/>
          <w:sz w:val="22"/>
        </w:rPr>
        <w:t>GB/T 40116‑2021 箔片轴承 气体动压径向轴承性能 静态承载能力、摩擦因数和寿命测试</w:t>
      </w:r>
    </w:p>
    <w:p>
      <w:pPr>
        <w:numPr>
          <w:numId w:val="13"/>
        </w:numPr>
        <w:spacing w:before="120" w:after="120" w:line="288" w:lineRule="auto"/>
        <w:ind w:left="0"/>
        <w:jc w:val="left"/>
      </w:pPr>
      <w:r>
        <w:rPr>
          <w:rFonts w:eastAsia="等线" w:ascii="Arial" w:cs="Arial" w:hAnsi="Arial"/>
          <w:sz w:val="22"/>
        </w:rPr>
        <w:t>JB/T 13826‑2020 电主轴 性能试验规范</w:t>
      </w:r>
    </w:p>
    <w:p>
      <w:pPr>
        <w:numPr>
          <w:numId w:val="14"/>
        </w:numPr>
        <w:spacing w:before="120" w:after="120" w:line="288" w:lineRule="auto"/>
        <w:ind w:left="0"/>
        <w:jc w:val="left"/>
      </w:pPr>
      <w:r>
        <w:rPr>
          <w:rFonts w:eastAsia="等线" w:ascii="Arial" w:cs="Arial" w:hAnsi="Arial"/>
          <w:sz w:val="22"/>
        </w:rPr>
        <w:t>ISO 8573‑1 压缩空气 第1部分：污染物和纯度等级</w:t>
      </w:r>
    </w:p>
    <w:p>
      <w:pPr>
        <w:numPr>
          <w:numId w:val="15"/>
        </w:numPr>
        <w:spacing w:before="120" w:after="120" w:line="288" w:lineRule="auto"/>
        <w:ind w:left="0"/>
        <w:jc w:val="left"/>
      </w:pPr>
      <w:r>
        <w:rPr>
          <w:rFonts w:eastAsia="等线" w:ascii="Arial" w:cs="Arial" w:hAnsi="Arial"/>
          <w:sz w:val="22"/>
        </w:rPr>
        <w:t>JB/T 5058‑2006 机械产品质量特性重要度分级导则</w:t>
      </w:r>
    </w:p>
    <w:p>
      <w:pPr>
        <w:pStyle w:val="2"/>
        <w:spacing w:before="320" w:after="120" w:line="288" w:lineRule="auto"/>
        <w:ind w:left="0"/>
        <w:jc w:val="left"/>
        <w:outlineLvl w:val="1"/>
      </w:pPr>
      <w:bookmarkStart w:name="heading_44" w:id="44"/>
      <w:r>
        <w:rPr>
          <w:rFonts w:eastAsia="等线" w:ascii="Arial" w:cs="Arial" w:hAnsi="Arial"/>
          <w:b w:val="true"/>
          <w:sz w:val="32"/>
        </w:rPr>
        <w:t>3 术语和定义</w:t>
      </w:r>
      <w:bookmarkEnd w:id="44"/>
    </w:p>
    <w:p>
      <w:pPr>
        <w:pStyle w:val="3"/>
        <w:spacing w:before="300" w:after="120" w:line="288" w:lineRule="auto"/>
        <w:ind w:left="0"/>
        <w:jc w:val="left"/>
        <w:outlineLvl w:val="2"/>
      </w:pPr>
      <w:bookmarkStart w:name="heading_45" w:id="45"/>
      <w:r>
        <w:rPr>
          <w:rFonts w:eastAsia="等线" w:ascii="Arial" w:cs="Arial" w:hAnsi="Arial"/>
          <w:b w:val="true"/>
          <w:sz w:val="30"/>
        </w:rPr>
        <w:t>3.1 气膜刚度</w:t>
      </w:r>
      <w:bookmarkEnd w:id="45"/>
    </w:p>
    <w:p>
      <w:pPr>
        <w:spacing w:before="120" w:after="120" w:line="288" w:lineRule="auto"/>
        <w:ind w:left="0"/>
        <w:jc w:val="left"/>
      </w:pPr>
      <w:r>
        <w:rPr>
          <w:rFonts w:eastAsia="等线" w:ascii="Arial" w:cs="Arial" w:hAnsi="Arial"/>
          <w:sz w:val="22"/>
        </w:rPr>
        <w:t>气浮轴承在额定供气条件下，单位位移变化对应的载荷变化量，分为径向气膜刚度、轴向气膜刚度，单位N/μm。</w:t>
      </w:r>
    </w:p>
    <w:p>
      <w:pPr>
        <w:pStyle w:val="3"/>
        <w:spacing w:before="300" w:after="120" w:line="288" w:lineRule="auto"/>
        <w:ind w:left="0"/>
        <w:jc w:val="left"/>
        <w:outlineLvl w:val="2"/>
      </w:pPr>
      <w:bookmarkStart w:name="heading_46" w:id="46"/>
      <w:r>
        <w:rPr>
          <w:rFonts w:eastAsia="等线" w:ascii="Arial" w:cs="Arial" w:hAnsi="Arial"/>
          <w:b w:val="true"/>
          <w:sz w:val="30"/>
        </w:rPr>
        <w:t>3.2 静态承载力</w:t>
      </w:r>
      <w:bookmarkEnd w:id="46"/>
    </w:p>
    <w:p>
      <w:pPr>
        <w:spacing w:before="120" w:after="120" w:line="288" w:lineRule="auto"/>
        <w:ind w:left="0"/>
        <w:jc w:val="left"/>
      </w:pPr>
      <w:r>
        <w:rPr>
          <w:rFonts w:eastAsia="等线" w:ascii="Arial" w:cs="Arial" w:hAnsi="Arial"/>
          <w:sz w:val="22"/>
        </w:rPr>
        <w:t>主轴静止悬浮状态，气膜无碰磨、无刚度突变条件下可承受最大径向或轴向静态载荷。</w:t>
      </w:r>
    </w:p>
    <w:p>
      <w:pPr>
        <w:pStyle w:val="3"/>
        <w:spacing w:before="300" w:after="120" w:line="288" w:lineRule="auto"/>
        <w:ind w:left="0"/>
        <w:jc w:val="left"/>
        <w:outlineLvl w:val="2"/>
      </w:pPr>
      <w:bookmarkStart w:name="heading_47" w:id="47"/>
      <w:r>
        <w:rPr>
          <w:rFonts w:eastAsia="等线" w:ascii="Arial" w:cs="Arial" w:hAnsi="Arial"/>
          <w:b w:val="true"/>
          <w:sz w:val="30"/>
        </w:rPr>
        <w:t>3.3 准动态承载特性</w:t>
      </w:r>
      <w:bookmarkEnd w:id="47"/>
    </w:p>
    <w:p>
      <w:pPr>
        <w:spacing w:before="120" w:after="120" w:line="288" w:lineRule="auto"/>
        <w:ind w:left="0"/>
        <w:jc w:val="left"/>
      </w:pPr>
      <w:r>
        <w:rPr>
          <w:rFonts w:eastAsia="等线" w:ascii="Arial" w:cs="Arial" w:hAnsi="Arial"/>
          <w:sz w:val="22"/>
        </w:rPr>
        <w:t>主轴额定转速稳态运转条件下施加静态载荷得到的刚度、偏移、极限承载性能。</w:t>
      </w:r>
    </w:p>
    <w:p>
      <w:pPr>
        <w:pStyle w:val="3"/>
        <w:spacing w:before="300" w:after="120" w:line="288" w:lineRule="auto"/>
        <w:ind w:left="0"/>
        <w:jc w:val="left"/>
        <w:outlineLvl w:val="2"/>
      </w:pPr>
      <w:bookmarkStart w:name="heading_48" w:id="48"/>
      <w:r>
        <w:rPr>
          <w:rFonts w:eastAsia="等线" w:ascii="Arial" w:cs="Arial" w:hAnsi="Arial"/>
          <w:b w:val="true"/>
          <w:sz w:val="30"/>
        </w:rPr>
        <w:t>3.4 滞回特性</w:t>
      </w:r>
      <w:bookmarkEnd w:id="48"/>
    </w:p>
    <w:p>
      <w:pPr>
        <w:spacing w:before="120" w:after="120" w:line="288" w:lineRule="auto"/>
        <w:ind w:left="0"/>
        <w:jc w:val="left"/>
      </w:pPr>
      <w:r>
        <w:rPr>
          <w:rFonts w:eastAsia="等线" w:ascii="Arial" w:cs="Arial" w:hAnsi="Arial"/>
          <w:sz w:val="22"/>
        </w:rPr>
        <w:t>加载、卸载同一载荷点转子位移存在差值，表征气膜气流迟滞非线性特性。</w:t>
      </w:r>
    </w:p>
    <w:p>
      <w:pPr>
        <w:pStyle w:val="3"/>
        <w:spacing w:before="300" w:after="120" w:line="288" w:lineRule="auto"/>
        <w:ind w:left="0"/>
        <w:jc w:val="left"/>
        <w:outlineLvl w:val="2"/>
      </w:pPr>
      <w:bookmarkStart w:name="heading_49" w:id="49"/>
      <w:r>
        <w:rPr>
          <w:rFonts w:eastAsia="等线" w:ascii="Arial" w:cs="Arial" w:hAnsi="Arial"/>
          <w:b w:val="true"/>
          <w:sz w:val="30"/>
        </w:rPr>
        <w:t>3.5 临界失稳载荷</w:t>
      </w:r>
      <w:bookmarkEnd w:id="49"/>
    </w:p>
    <w:p>
      <w:pPr>
        <w:spacing w:before="120" w:after="120" w:line="288" w:lineRule="auto"/>
        <w:ind w:left="0"/>
        <w:jc w:val="left"/>
      </w:pPr>
      <w:r>
        <w:rPr>
          <w:rFonts w:eastAsia="等线" w:ascii="Arial" w:cs="Arial" w:hAnsi="Arial"/>
          <w:sz w:val="22"/>
        </w:rPr>
        <w:t>载荷增大，气膜刚度急剧下降、振动突增，气膜临近失效的极限载荷。</w:t>
      </w:r>
    </w:p>
    <w:p>
      <w:pPr>
        <w:pStyle w:val="2"/>
        <w:spacing w:before="320" w:after="120" w:line="288" w:lineRule="auto"/>
        <w:ind w:left="0"/>
        <w:jc w:val="left"/>
        <w:outlineLvl w:val="1"/>
      </w:pPr>
      <w:bookmarkStart w:name="heading_50" w:id="50"/>
      <w:r>
        <w:rPr>
          <w:rFonts w:eastAsia="等线" w:ascii="Arial" w:cs="Arial" w:hAnsi="Arial"/>
          <w:b w:val="true"/>
          <w:sz w:val="32"/>
        </w:rPr>
        <w:t>4 技术要求</w:t>
      </w:r>
      <w:bookmarkEnd w:id="50"/>
    </w:p>
    <w:p>
      <w:pPr>
        <w:pStyle w:val="3"/>
        <w:spacing w:before="300" w:after="120" w:line="288" w:lineRule="auto"/>
        <w:ind w:left="0"/>
        <w:jc w:val="left"/>
        <w:outlineLvl w:val="2"/>
      </w:pPr>
      <w:bookmarkStart w:name="heading_51" w:id="51"/>
      <w:r>
        <w:rPr>
          <w:rFonts w:eastAsia="等线" w:ascii="Arial" w:cs="Arial" w:hAnsi="Arial"/>
          <w:b w:val="true"/>
          <w:sz w:val="30"/>
        </w:rPr>
        <w:t>4.1 检测设备基本参数要求</w:t>
      </w:r>
      <w:bookmarkEnd w:id="51"/>
    </w:p>
    <w:tbl>
      <w:tblPr>
        <w:tblW w:w="0" w:type="auto"/>
        <w:tblInd w:w="0" w:type="dxa"/>
        <w:tblBorders>
          <w:top w:val="single" w:color="dee0e3"/>
          <w:left w:val="single" w:color="dee0e3"/>
          <w:bottom w:val="single" w:color="dee0e3"/>
          <w:right w:val="single" w:color="dee0e3"/>
          <w:insideH w:val="single" w:color="dee0e3"/>
          <w:insideV w:val="single" w:color="dee0e3"/>
        </w:tblBorders>
        <w:tblLayout w:type="fixed"/>
      </w:tblPr>
      <w:tblGrid>
        <w:gridCol w:w="3045"/>
        <w:gridCol w:w="1305"/>
        <w:gridCol w:w="3915"/>
      </w:tblGrid>
      <w:tr>
        <w:tc>
          <w:tcPr>
            <w:tcW w:w="3045" w:type="dxa"/>
            <w:tcMar>
              <w:top w:type="dxa" w:w="60"/>
              <w:left w:type="dxa" w:w="120"/>
              <w:bottom w:type="dxa" w:w="30"/>
              <w:right w:type="dxa" w:w="120"/>
            </w:tcMar>
          </w:tcPr>
          <w:p>
            <w:pPr>
              <w:spacing w:before="120" w:after="120" w:line="288" w:lineRule="auto"/>
              <w:ind w:left="0"/>
              <w:jc w:val="left"/>
            </w:pPr>
            <w:r>
              <w:rPr>
                <w:rFonts w:eastAsia="等线" w:ascii="Arial" w:cs="Arial" w:hAnsi="Arial"/>
                <w:sz w:val="22"/>
              </w:rPr>
              <w:t>项目</w:t>
            </w:r>
          </w:p>
        </w:tc>
        <w:tc>
          <w:tcPr>
            <w:tcW w:w="1305" w:type="dxa"/>
            <w:tcMar>
              <w:top w:type="dxa" w:w="60"/>
              <w:left w:type="dxa" w:w="120"/>
              <w:bottom w:type="dxa" w:w="30"/>
              <w:right w:type="dxa" w:w="120"/>
            </w:tcMar>
          </w:tcPr>
          <w:p>
            <w:pPr>
              <w:spacing w:before="120" w:after="120" w:line="288" w:lineRule="auto"/>
              <w:ind w:left="0"/>
              <w:jc w:val="left"/>
            </w:pPr>
            <w:r>
              <w:rPr>
                <w:rFonts w:eastAsia="等线" w:ascii="Arial" w:cs="Arial" w:hAnsi="Arial"/>
                <w:sz w:val="22"/>
              </w:rPr>
              <w:t>单位</w:t>
            </w:r>
          </w:p>
        </w:tc>
        <w:tc>
          <w:tcPr>
            <w:tcW w:w="3915" w:type="dxa"/>
            <w:tcMar>
              <w:top w:type="dxa" w:w="60"/>
              <w:left w:type="dxa" w:w="120"/>
              <w:bottom w:type="dxa" w:w="30"/>
              <w:right w:type="dxa" w:w="120"/>
            </w:tcMar>
          </w:tcPr>
          <w:p>
            <w:pPr>
              <w:spacing w:before="120" w:after="120" w:line="288" w:lineRule="auto"/>
              <w:ind w:left="0"/>
              <w:jc w:val="left"/>
            </w:pPr>
            <w:r>
              <w:rPr>
                <w:rFonts w:eastAsia="等线" w:ascii="Arial" w:cs="Arial" w:hAnsi="Arial"/>
                <w:sz w:val="22"/>
              </w:rPr>
              <w:t>参数要求</w:t>
            </w:r>
          </w:p>
        </w:tc>
      </w:tr>
      <w:tr>
        <w:tc>
          <w:tcPr>
            <w:tcW w:w="3045" w:type="dxa"/>
            <w:tcMar>
              <w:top w:type="dxa" w:w="60"/>
              <w:left w:type="dxa" w:w="120"/>
              <w:bottom w:type="dxa" w:w="30"/>
              <w:right w:type="dxa" w:w="120"/>
            </w:tcMar>
          </w:tcPr>
          <w:p>
            <w:pPr>
              <w:spacing w:before="120" w:after="120" w:line="288" w:lineRule="auto"/>
              <w:ind w:left="0"/>
              <w:jc w:val="left"/>
            </w:pPr>
            <w:r>
              <w:rPr>
                <w:rFonts w:eastAsia="等线" w:ascii="Arial" w:cs="Arial" w:hAnsi="Arial"/>
                <w:sz w:val="22"/>
              </w:rPr>
              <w:t>伺服加载量程</w:t>
            </w:r>
          </w:p>
        </w:tc>
        <w:tc>
          <w:tcPr>
            <w:tcW w:w="1305" w:type="dxa"/>
            <w:tcMar>
              <w:top w:type="dxa" w:w="60"/>
              <w:left w:type="dxa" w:w="120"/>
              <w:bottom w:type="dxa" w:w="30"/>
              <w:right w:type="dxa" w:w="120"/>
            </w:tcMar>
          </w:tcPr>
          <w:p>
            <w:pPr>
              <w:spacing w:before="120" w:after="120" w:line="288" w:lineRule="auto"/>
              <w:ind w:left="0"/>
              <w:jc w:val="left"/>
            </w:pPr>
            <w:r>
              <w:rPr>
                <w:rFonts w:eastAsia="等线" w:ascii="Arial" w:cs="Arial" w:hAnsi="Arial"/>
                <w:sz w:val="22"/>
              </w:rPr>
              <w:t>N</w:t>
            </w:r>
          </w:p>
        </w:tc>
        <w:tc>
          <w:tcPr>
            <w:tcW w:w="3915" w:type="dxa"/>
            <w:tcMar>
              <w:top w:type="dxa" w:w="60"/>
              <w:left w:type="dxa" w:w="120"/>
              <w:bottom w:type="dxa" w:w="30"/>
              <w:right w:type="dxa" w:w="120"/>
            </w:tcMar>
          </w:tcPr>
          <w:p>
            <w:pPr>
              <w:spacing w:before="120" w:after="120" w:line="288" w:lineRule="auto"/>
              <w:ind w:left="0"/>
              <w:jc w:val="left"/>
            </w:pPr>
            <w:r>
              <w:rPr>
                <w:rFonts w:eastAsia="等线" w:ascii="Arial" w:cs="Arial" w:hAnsi="Arial"/>
                <w:sz w:val="22"/>
              </w:rPr>
              <w:t>0‑500</w:t>
            </w:r>
          </w:p>
        </w:tc>
      </w:tr>
      <w:tr>
        <w:tc>
          <w:tcPr>
            <w:tcW w:w="3045" w:type="dxa"/>
            <w:tcMar>
              <w:top w:type="dxa" w:w="60"/>
              <w:left w:type="dxa" w:w="120"/>
              <w:bottom w:type="dxa" w:w="30"/>
              <w:right w:type="dxa" w:w="120"/>
            </w:tcMar>
          </w:tcPr>
          <w:p>
            <w:pPr>
              <w:spacing w:before="120" w:after="120" w:line="288" w:lineRule="auto"/>
              <w:ind w:left="0"/>
              <w:jc w:val="left"/>
            </w:pPr>
            <w:r>
              <w:rPr>
                <w:rFonts w:eastAsia="等线" w:ascii="Arial" w:cs="Arial" w:hAnsi="Arial"/>
                <w:sz w:val="22"/>
              </w:rPr>
              <w:t>力传感器精度</w:t>
            </w:r>
          </w:p>
        </w:tc>
        <w:tc>
          <w:tcPr>
            <w:tcW w:w="1305" w:type="dxa"/>
            <w:tcMar>
              <w:top w:type="dxa" w:w="60"/>
              <w:left w:type="dxa" w:w="120"/>
              <w:bottom w:type="dxa" w:w="30"/>
              <w:right w:type="dxa" w:w="120"/>
            </w:tcMar>
          </w:tcPr>
          <w:p>
            <w:pPr>
              <w:spacing w:before="120" w:after="120" w:line="288" w:lineRule="auto"/>
              <w:ind w:left="0"/>
              <w:jc w:val="left"/>
            </w:pPr>
            <w:r>
              <w:rPr>
                <w:rFonts w:eastAsia="等线" w:ascii="Arial" w:cs="Arial" w:hAnsi="Arial"/>
                <w:sz w:val="22"/>
              </w:rPr>
              <w:t>级</w:t>
            </w:r>
          </w:p>
        </w:tc>
        <w:tc>
          <w:tcPr>
            <w:tcW w:w="3915" w:type="dxa"/>
            <w:tcMar>
              <w:top w:type="dxa" w:w="60"/>
              <w:left w:type="dxa" w:w="120"/>
              <w:bottom w:type="dxa" w:w="30"/>
              <w:right w:type="dxa" w:w="120"/>
            </w:tcMar>
          </w:tcPr>
          <w:p>
            <w:pPr>
              <w:spacing w:before="120" w:after="120" w:line="288" w:lineRule="auto"/>
              <w:ind w:left="0"/>
              <w:jc w:val="left"/>
            </w:pPr>
            <w:r>
              <w:rPr>
                <w:rFonts w:eastAsia="等线" w:ascii="Arial" w:cs="Arial" w:hAnsi="Arial"/>
                <w:sz w:val="22"/>
              </w:rPr>
              <w:t>0.3</w:t>
            </w:r>
          </w:p>
        </w:tc>
      </w:tr>
      <w:tr>
        <w:tc>
          <w:tcPr>
            <w:tcW w:w="3045" w:type="dxa"/>
            <w:tcMar>
              <w:top w:type="dxa" w:w="60"/>
              <w:left w:type="dxa" w:w="120"/>
              <w:bottom w:type="dxa" w:w="30"/>
              <w:right w:type="dxa" w:w="120"/>
            </w:tcMar>
          </w:tcPr>
          <w:p>
            <w:pPr>
              <w:spacing w:before="120" w:after="120" w:line="288" w:lineRule="auto"/>
              <w:ind w:left="0"/>
              <w:jc w:val="left"/>
            </w:pPr>
            <w:r>
              <w:rPr>
                <w:rFonts w:eastAsia="等线" w:ascii="Arial" w:cs="Arial" w:hAnsi="Arial"/>
                <w:sz w:val="22"/>
              </w:rPr>
              <w:t>电容位移传感器分辨率</w:t>
            </w:r>
          </w:p>
        </w:tc>
        <w:tc>
          <w:tcPr>
            <w:tcW w:w="1305" w:type="dxa"/>
            <w:tcMar>
              <w:top w:type="dxa" w:w="60"/>
              <w:left w:type="dxa" w:w="120"/>
              <w:bottom w:type="dxa" w:w="30"/>
              <w:right w:type="dxa" w:w="120"/>
            </w:tcMar>
          </w:tcPr>
          <w:p>
            <w:pPr>
              <w:spacing w:before="120" w:after="120" w:line="288" w:lineRule="auto"/>
              <w:ind w:left="0"/>
              <w:jc w:val="left"/>
            </w:pPr>
            <w:r>
              <w:rPr>
                <w:rFonts w:eastAsia="等线" w:ascii="Arial" w:cs="Arial" w:hAnsi="Arial"/>
                <w:sz w:val="22"/>
              </w:rPr>
              <w:t>μm</w:t>
            </w:r>
          </w:p>
        </w:tc>
        <w:tc>
          <w:tcPr>
            <w:tcW w:w="3915" w:type="dxa"/>
            <w:tcMar>
              <w:top w:type="dxa" w:w="60"/>
              <w:left w:type="dxa" w:w="120"/>
              <w:bottom w:type="dxa" w:w="30"/>
              <w:right w:type="dxa" w:w="120"/>
            </w:tcMar>
          </w:tcPr>
          <w:p>
            <w:pPr>
              <w:spacing w:before="120" w:after="120" w:line="288" w:lineRule="auto"/>
              <w:ind w:left="0"/>
              <w:jc w:val="left"/>
            </w:pPr>
            <w:r>
              <w:rPr>
                <w:rFonts w:eastAsia="等线" w:ascii="Arial" w:cs="Arial" w:hAnsi="Arial"/>
                <w:sz w:val="22"/>
              </w:rPr>
              <w:t>0.01</w:t>
            </w:r>
          </w:p>
        </w:tc>
      </w:tr>
      <w:tr>
        <w:tc>
          <w:tcPr>
            <w:tcW w:w="3045" w:type="dxa"/>
            <w:tcMar>
              <w:top w:type="dxa" w:w="60"/>
              <w:left w:type="dxa" w:w="120"/>
              <w:bottom w:type="dxa" w:w="30"/>
              <w:right w:type="dxa" w:w="120"/>
            </w:tcMar>
          </w:tcPr>
          <w:p>
            <w:pPr>
              <w:spacing w:before="120" w:after="120" w:line="288" w:lineRule="auto"/>
              <w:ind w:left="0"/>
              <w:jc w:val="left"/>
            </w:pPr>
            <w:r>
              <w:rPr>
                <w:rFonts w:eastAsia="等线" w:ascii="Arial" w:cs="Arial" w:hAnsi="Arial"/>
                <w:sz w:val="22"/>
              </w:rPr>
              <w:t>供气稳压精度</w:t>
            </w:r>
          </w:p>
        </w:tc>
        <w:tc>
          <w:tcPr>
            <w:tcW w:w="1305" w:type="dxa"/>
            <w:tcMar>
              <w:top w:type="dxa" w:w="60"/>
              <w:left w:type="dxa" w:w="120"/>
              <w:bottom w:type="dxa" w:w="30"/>
              <w:right w:type="dxa" w:w="120"/>
            </w:tcMar>
          </w:tcPr>
          <w:p>
            <w:pPr>
              <w:spacing w:before="120" w:after="120" w:line="288" w:lineRule="auto"/>
              <w:ind w:left="0"/>
              <w:jc w:val="left"/>
            </w:pPr>
            <w:r>
              <w:rPr>
                <w:rFonts w:eastAsia="等线" w:ascii="Arial" w:cs="Arial" w:hAnsi="Arial"/>
                <w:sz w:val="22"/>
              </w:rPr>
              <w:t>MPa</w:t>
            </w:r>
          </w:p>
        </w:tc>
        <w:tc>
          <w:tcPr>
            <w:tcW w:w="3915" w:type="dxa"/>
            <w:tcMar>
              <w:top w:type="dxa" w:w="60"/>
              <w:left w:type="dxa" w:w="120"/>
              <w:bottom w:type="dxa" w:w="30"/>
              <w:right w:type="dxa" w:w="120"/>
            </w:tcMar>
          </w:tcPr>
          <w:p>
            <w:pPr>
              <w:spacing w:before="120" w:after="120" w:line="288" w:lineRule="auto"/>
              <w:ind w:left="0"/>
              <w:jc w:val="left"/>
            </w:pPr>
            <w:r>
              <w:rPr>
                <w:rFonts w:eastAsia="等线" w:ascii="Arial" w:cs="Arial" w:hAnsi="Arial"/>
                <w:sz w:val="22"/>
              </w:rPr>
              <w:t>±0.005</w:t>
            </w:r>
          </w:p>
        </w:tc>
      </w:tr>
      <w:tr>
        <w:tc>
          <w:tcPr>
            <w:tcW w:w="3045" w:type="dxa"/>
            <w:tcMar>
              <w:top w:type="dxa" w:w="60"/>
              <w:left w:type="dxa" w:w="120"/>
              <w:bottom w:type="dxa" w:w="30"/>
              <w:right w:type="dxa" w:w="120"/>
            </w:tcMar>
          </w:tcPr>
          <w:p>
            <w:pPr>
              <w:spacing w:before="120" w:after="120" w:line="288" w:lineRule="auto"/>
              <w:ind w:left="0"/>
              <w:jc w:val="left"/>
            </w:pPr>
            <w:r>
              <w:rPr>
                <w:rFonts w:eastAsia="等线" w:ascii="Arial" w:cs="Arial" w:hAnsi="Arial"/>
                <w:sz w:val="22"/>
              </w:rPr>
              <w:t>供气洁净等级</w:t>
            </w:r>
          </w:p>
        </w:tc>
        <w:tc>
          <w:tcPr>
            <w:tcW w:w="1305" w:type="dxa"/>
            <w:tcMar>
              <w:top w:type="dxa" w:w="60"/>
              <w:left w:type="dxa" w:w="120"/>
              <w:bottom w:type="dxa" w:w="30"/>
              <w:right w:type="dxa" w:w="120"/>
            </w:tcMar>
          </w:tcPr>
          <w:p>
            <w:pPr>
              <w:spacing w:before="120" w:after="120" w:line="288" w:lineRule="auto"/>
              <w:ind w:left="0"/>
              <w:jc w:val="left"/>
            </w:pPr>
            <w:r>
              <w:rPr>
                <w:rFonts w:eastAsia="等线" w:ascii="Arial" w:cs="Arial" w:hAnsi="Arial"/>
                <w:sz w:val="22"/>
              </w:rPr>
              <w:t>—</w:t>
            </w:r>
          </w:p>
        </w:tc>
        <w:tc>
          <w:tcPr>
            <w:tcW w:w="3915" w:type="dxa"/>
            <w:tcMar>
              <w:top w:type="dxa" w:w="60"/>
              <w:left w:type="dxa" w:w="120"/>
              <w:bottom w:type="dxa" w:w="30"/>
              <w:right w:type="dxa" w:w="120"/>
            </w:tcMar>
          </w:tcPr>
          <w:p>
            <w:pPr>
              <w:spacing w:before="120" w:after="120" w:line="288" w:lineRule="auto"/>
              <w:ind w:left="0"/>
              <w:jc w:val="left"/>
            </w:pPr>
            <w:r>
              <w:rPr>
                <w:rFonts w:eastAsia="等线" w:ascii="Arial" w:cs="Arial" w:hAnsi="Arial"/>
                <w:sz w:val="22"/>
              </w:rPr>
              <w:t>ISO8573‑1 Class2</w:t>
            </w:r>
          </w:p>
        </w:tc>
      </w:tr>
      <w:tr>
        <w:tc>
          <w:tcPr>
            <w:tcW w:w="3045" w:type="dxa"/>
            <w:tcMar>
              <w:top w:type="dxa" w:w="60"/>
              <w:left w:type="dxa" w:w="120"/>
              <w:bottom w:type="dxa" w:w="30"/>
              <w:right w:type="dxa" w:w="120"/>
            </w:tcMar>
          </w:tcPr>
          <w:p>
            <w:pPr>
              <w:spacing w:before="120" w:after="120" w:line="288" w:lineRule="auto"/>
              <w:ind w:left="0"/>
              <w:jc w:val="left"/>
            </w:pPr>
            <w:r>
              <w:rPr>
                <w:rFonts w:eastAsia="等线" w:ascii="Arial" w:cs="Arial" w:hAnsi="Arial"/>
                <w:sz w:val="22"/>
              </w:rPr>
              <w:t>数据采集采样频率</w:t>
            </w:r>
          </w:p>
        </w:tc>
        <w:tc>
          <w:tcPr>
            <w:tcW w:w="1305" w:type="dxa"/>
            <w:tcMar>
              <w:top w:type="dxa" w:w="60"/>
              <w:left w:type="dxa" w:w="120"/>
              <w:bottom w:type="dxa" w:w="30"/>
              <w:right w:type="dxa" w:w="120"/>
            </w:tcMar>
          </w:tcPr>
          <w:p>
            <w:pPr>
              <w:spacing w:before="120" w:after="120" w:line="288" w:lineRule="auto"/>
              <w:ind w:left="0"/>
              <w:jc w:val="left"/>
            </w:pPr>
            <w:r>
              <w:rPr>
                <w:rFonts w:eastAsia="等线" w:ascii="Arial" w:cs="Arial" w:hAnsi="Arial"/>
                <w:sz w:val="22"/>
              </w:rPr>
              <w:t>Hz</w:t>
            </w:r>
          </w:p>
        </w:tc>
        <w:tc>
          <w:tcPr>
            <w:tcW w:w="3915" w:type="dxa"/>
            <w:tcMar>
              <w:top w:type="dxa" w:w="60"/>
              <w:left w:type="dxa" w:w="120"/>
              <w:bottom w:type="dxa" w:w="30"/>
              <w:right w:type="dxa" w:w="120"/>
            </w:tcMar>
          </w:tcPr>
          <w:p>
            <w:pPr>
              <w:spacing w:before="120" w:after="120" w:line="288" w:lineRule="auto"/>
              <w:ind w:left="0"/>
              <w:jc w:val="left"/>
            </w:pPr>
            <w:r>
              <w:rPr>
                <w:rFonts w:eastAsia="等线" w:ascii="Arial" w:cs="Arial" w:hAnsi="Arial"/>
                <w:sz w:val="22"/>
              </w:rPr>
              <w:t>≥1000</w:t>
            </w:r>
          </w:p>
        </w:tc>
      </w:tr>
      <w:tr>
        <w:tc>
          <w:tcPr>
            <w:tcW w:w="3045" w:type="dxa"/>
            <w:tcMar>
              <w:top w:type="dxa" w:w="60"/>
              <w:left w:type="dxa" w:w="120"/>
              <w:bottom w:type="dxa" w:w="30"/>
              <w:right w:type="dxa" w:w="120"/>
            </w:tcMar>
          </w:tcPr>
          <w:p>
            <w:pPr>
              <w:spacing w:before="120" w:after="120" w:line="288" w:lineRule="auto"/>
              <w:ind w:left="0"/>
              <w:jc w:val="left"/>
            </w:pPr>
            <w:r>
              <w:rPr>
                <w:rFonts w:eastAsia="等线" w:ascii="Arial" w:cs="Arial" w:hAnsi="Arial"/>
                <w:sz w:val="22"/>
              </w:rPr>
              <w:t>试验工装同轴度</w:t>
            </w:r>
          </w:p>
        </w:tc>
        <w:tc>
          <w:tcPr>
            <w:tcW w:w="1305" w:type="dxa"/>
            <w:tcMar>
              <w:top w:type="dxa" w:w="60"/>
              <w:left w:type="dxa" w:w="120"/>
              <w:bottom w:type="dxa" w:w="30"/>
              <w:right w:type="dxa" w:w="120"/>
            </w:tcMar>
          </w:tcPr>
          <w:p>
            <w:pPr>
              <w:spacing w:before="120" w:after="120" w:line="288" w:lineRule="auto"/>
              <w:ind w:left="0"/>
              <w:jc w:val="left"/>
            </w:pPr>
            <w:r>
              <w:rPr>
                <w:rFonts w:eastAsia="等线" w:ascii="Arial" w:cs="Arial" w:hAnsi="Arial"/>
                <w:sz w:val="22"/>
              </w:rPr>
              <w:t>μm</w:t>
            </w:r>
          </w:p>
        </w:tc>
        <w:tc>
          <w:tcPr>
            <w:tcW w:w="3915" w:type="dxa"/>
            <w:tcMar>
              <w:top w:type="dxa" w:w="60"/>
              <w:left w:type="dxa" w:w="120"/>
              <w:bottom w:type="dxa" w:w="30"/>
              <w:right w:type="dxa" w:w="120"/>
            </w:tcMar>
          </w:tcPr>
          <w:p>
            <w:pPr>
              <w:spacing w:before="120" w:after="120" w:line="288" w:lineRule="auto"/>
              <w:ind w:left="0"/>
              <w:jc w:val="left"/>
            </w:pPr>
            <w:r>
              <w:rPr>
                <w:rFonts w:eastAsia="等线" w:ascii="Arial" w:cs="Arial" w:hAnsi="Arial"/>
                <w:sz w:val="22"/>
              </w:rPr>
              <w:t>≤2</w:t>
            </w:r>
          </w:p>
        </w:tc>
      </w:tr>
    </w:tbl>
    <w:p>
      <w:pPr>
        <w:pStyle w:val="3"/>
        <w:spacing w:before="300" w:after="120" w:line="288" w:lineRule="auto"/>
        <w:ind w:left="0"/>
        <w:jc w:val="left"/>
        <w:outlineLvl w:val="2"/>
      </w:pPr>
      <w:bookmarkStart w:name="heading_52" w:id="52"/>
      <w:r>
        <w:rPr>
          <w:rFonts w:eastAsia="等线" w:ascii="Arial" w:cs="Arial" w:hAnsi="Arial"/>
          <w:b w:val="true"/>
          <w:sz w:val="30"/>
        </w:rPr>
        <w:t>4.2 检测环境条件</w:t>
      </w:r>
      <w:bookmarkEnd w:id="52"/>
    </w:p>
    <w:p>
      <w:pPr>
        <w:spacing w:before="120" w:after="120" w:line="288" w:lineRule="auto"/>
        <w:ind w:left="0"/>
        <w:jc w:val="left"/>
      </w:pPr>
      <w:r>
        <w:rPr>
          <w:rFonts w:eastAsia="等线" w:ascii="Arial" w:cs="Arial" w:hAnsi="Arial"/>
          <w:sz w:val="22"/>
        </w:rPr>
        <w:t>A）环境温度：20℃±5℃，温度变化速率≤2℃/h；</w:t>
      </w:r>
    </w:p>
    <w:p>
      <w:pPr>
        <w:spacing w:before="120" w:after="120" w:line="288" w:lineRule="auto"/>
        <w:ind w:left="0"/>
        <w:jc w:val="left"/>
      </w:pPr>
      <w:r>
        <w:rPr>
          <w:rFonts w:eastAsia="等线" w:ascii="Arial" w:cs="Arial" w:hAnsi="Arial"/>
          <w:sz w:val="22"/>
        </w:rPr>
        <w:t>B）环境相对湿度：40%RH~60%RH，无结露；</w:t>
      </w:r>
    </w:p>
    <w:p>
      <w:pPr>
        <w:spacing w:before="120" w:after="120" w:line="288" w:lineRule="auto"/>
        <w:ind w:left="0"/>
        <w:jc w:val="left"/>
      </w:pPr>
      <w:r>
        <w:rPr>
          <w:rFonts w:eastAsia="等线" w:ascii="Arial" w:cs="Arial" w:hAnsi="Arial"/>
          <w:sz w:val="22"/>
        </w:rPr>
        <w:t>C）基础地面振动有效值≤2.5μm；</w:t>
      </w:r>
    </w:p>
    <w:p>
      <w:pPr>
        <w:spacing w:before="120" w:after="120" w:line="288" w:lineRule="auto"/>
        <w:ind w:left="0"/>
        <w:jc w:val="left"/>
      </w:pPr>
      <w:r>
        <w:rPr>
          <w:rFonts w:eastAsia="等线" w:ascii="Arial" w:cs="Arial" w:hAnsi="Arial"/>
          <w:sz w:val="22"/>
        </w:rPr>
        <w:t>D）无强电磁干扰。</w:t>
      </w:r>
    </w:p>
    <w:p>
      <w:pPr>
        <w:pStyle w:val="3"/>
        <w:spacing w:before="300" w:after="120" w:line="288" w:lineRule="auto"/>
        <w:ind w:left="0"/>
        <w:jc w:val="left"/>
        <w:outlineLvl w:val="2"/>
      </w:pPr>
      <w:bookmarkStart w:name="heading_53" w:id="53"/>
      <w:r>
        <w:rPr>
          <w:rFonts w:eastAsia="等线" w:ascii="Arial" w:cs="Arial" w:hAnsi="Arial"/>
          <w:b w:val="true"/>
          <w:sz w:val="30"/>
        </w:rPr>
        <w:t>4.3 被测样品预处理要求</w:t>
      </w:r>
      <w:bookmarkEnd w:id="53"/>
    </w:p>
    <w:p>
      <w:pPr>
        <w:spacing w:before="120" w:after="120" w:line="288" w:lineRule="auto"/>
        <w:ind w:left="0"/>
        <w:jc w:val="left"/>
      </w:pPr>
      <w:r>
        <w:rPr>
          <w:rFonts w:eastAsia="等线" w:ascii="Arial" w:cs="Arial" w:hAnsi="Arial"/>
          <w:sz w:val="22"/>
        </w:rPr>
        <w:t>A）受试主轴外观完好，气路无泄漏，节流孔无堵塞；</w:t>
      </w:r>
    </w:p>
    <w:p>
      <w:pPr>
        <w:spacing w:before="120" w:after="120" w:line="288" w:lineRule="auto"/>
        <w:ind w:left="0"/>
        <w:jc w:val="left"/>
      </w:pPr>
      <w:r>
        <w:rPr>
          <w:rFonts w:eastAsia="等线" w:ascii="Arial" w:cs="Arial" w:hAnsi="Arial"/>
          <w:sz w:val="22"/>
        </w:rPr>
        <w:t>B）安装完成保压10min，压力无衰减；</w:t>
      </w:r>
    </w:p>
    <w:p>
      <w:pPr>
        <w:spacing w:before="120" w:after="120" w:line="288" w:lineRule="auto"/>
        <w:ind w:left="0"/>
        <w:jc w:val="left"/>
      </w:pPr>
      <w:r>
        <w:rPr>
          <w:rFonts w:eastAsia="等线" w:ascii="Arial" w:cs="Arial" w:hAnsi="Arial"/>
          <w:sz w:val="22"/>
        </w:rPr>
        <w:t>C）低速预热运行30min，额定转速热平衡20min后方可开展检测。</w:t>
      </w:r>
    </w:p>
    <w:p>
      <w:pPr>
        <w:pStyle w:val="3"/>
        <w:spacing w:before="300" w:after="120" w:line="288" w:lineRule="auto"/>
        <w:ind w:left="0"/>
        <w:jc w:val="left"/>
        <w:outlineLvl w:val="2"/>
      </w:pPr>
      <w:bookmarkStart w:name="heading_54" w:id="54"/>
      <w:r>
        <w:rPr>
          <w:rFonts w:eastAsia="等线" w:ascii="Arial" w:cs="Arial" w:hAnsi="Arial"/>
          <w:b w:val="true"/>
          <w:sz w:val="30"/>
        </w:rPr>
        <w:t>4.4 性能指标要求</w:t>
      </w:r>
      <w:bookmarkEnd w:id="54"/>
    </w:p>
    <w:p>
      <w:pPr>
        <w:spacing w:before="120" w:after="120" w:line="288" w:lineRule="auto"/>
        <w:ind w:left="0"/>
        <w:jc w:val="left"/>
      </w:pPr>
      <w:r>
        <w:rPr>
          <w:rFonts w:eastAsia="等线" w:ascii="Arial" w:cs="Arial" w:hAnsi="Arial"/>
          <w:sz w:val="22"/>
        </w:rPr>
        <w:t>A）额定工况下承载‑位移曲线应无刚度突变；</w:t>
      </w:r>
    </w:p>
    <w:p>
      <w:pPr>
        <w:spacing w:before="120" w:after="120" w:line="288" w:lineRule="auto"/>
        <w:ind w:left="0"/>
        <w:jc w:val="left"/>
      </w:pPr>
      <w:r>
        <w:rPr>
          <w:rFonts w:eastAsia="等线" w:ascii="Arial" w:cs="Arial" w:hAnsi="Arial"/>
          <w:sz w:val="22"/>
        </w:rPr>
        <w:t>B）气膜滞回误差≤5%；</w:t>
      </w:r>
    </w:p>
    <w:p>
      <w:pPr>
        <w:spacing w:before="120" w:after="120" w:line="288" w:lineRule="auto"/>
        <w:ind w:left="0"/>
        <w:jc w:val="left"/>
      </w:pPr>
      <w:r>
        <w:rPr>
          <w:rFonts w:eastAsia="等线" w:ascii="Arial" w:cs="Arial" w:hAnsi="Arial"/>
          <w:sz w:val="22"/>
        </w:rPr>
        <w:t>C）高速状态刚度衰减应满足产品图纸技术协议要求；</w:t>
      </w:r>
    </w:p>
    <w:p>
      <w:pPr>
        <w:spacing w:before="120" w:after="120" w:line="288" w:lineRule="auto"/>
        <w:ind w:left="0"/>
        <w:jc w:val="left"/>
      </w:pPr>
      <w:r>
        <w:rPr>
          <w:rFonts w:eastAsia="等线" w:ascii="Arial" w:cs="Arial" w:hAnsi="Arial"/>
          <w:sz w:val="22"/>
        </w:rPr>
        <w:t>D）不得出现位移跳变、气膜失稳现象。</w:t>
      </w:r>
    </w:p>
    <w:p>
      <w:pPr>
        <w:pStyle w:val="3"/>
        <w:spacing w:before="300" w:after="120" w:line="288" w:lineRule="auto"/>
        <w:ind w:left="0"/>
        <w:jc w:val="left"/>
        <w:outlineLvl w:val="2"/>
      </w:pPr>
      <w:bookmarkStart w:name="heading_55" w:id="55"/>
      <w:r>
        <w:rPr>
          <w:rFonts w:eastAsia="等线" w:ascii="Arial" w:cs="Arial" w:hAnsi="Arial"/>
          <w:b w:val="true"/>
          <w:sz w:val="30"/>
        </w:rPr>
        <w:t>4.5 检测设备电气安全要求</w:t>
      </w:r>
      <w:bookmarkEnd w:id="55"/>
    </w:p>
    <w:p>
      <w:pPr>
        <w:spacing w:before="120" w:after="120" w:line="288" w:lineRule="auto"/>
        <w:ind w:left="0"/>
        <w:jc w:val="left"/>
      </w:pPr>
      <w:r>
        <w:rPr>
          <w:rFonts w:eastAsia="等线" w:ascii="Arial" w:cs="Arial" w:hAnsi="Arial"/>
          <w:sz w:val="22"/>
        </w:rPr>
        <w:t>A）检测台所有外露可导电部分可靠保护接地，PE保护接地符合GB 5226.1要求；</w:t>
      </w:r>
    </w:p>
    <w:p>
      <w:pPr>
        <w:spacing w:before="120" w:after="120" w:line="288" w:lineRule="auto"/>
        <w:ind w:left="0"/>
        <w:jc w:val="left"/>
      </w:pPr>
      <w:r>
        <w:rPr>
          <w:rFonts w:eastAsia="等线" w:ascii="Arial" w:cs="Arial" w:hAnsi="Arial"/>
          <w:sz w:val="22"/>
        </w:rPr>
        <w:t>B）DC500V绝缘电阻≥20MΩ；</w:t>
      </w:r>
    </w:p>
    <w:p>
      <w:pPr>
        <w:spacing w:before="120" w:after="120" w:line="288" w:lineRule="auto"/>
        <w:ind w:left="0"/>
        <w:jc w:val="left"/>
      </w:pPr>
      <w:r>
        <w:rPr>
          <w:rFonts w:eastAsia="等线" w:ascii="Arial" w:cs="Arial" w:hAnsi="Arial"/>
          <w:sz w:val="22"/>
        </w:rPr>
        <w:t>C）非金属外壳阻燃等级V‑1，内部非金属部件阻燃V‑2。</w:t>
      </w:r>
    </w:p>
    <w:p>
      <w:pPr>
        <w:pStyle w:val="3"/>
        <w:spacing w:before="300" w:after="120" w:line="288" w:lineRule="auto"/>
        <w:ind w:left="0"/>
        <w:jc w:val="left"/>
        <w:outlineLvl w:val="2"/>
      </w:pPr>
      <w:bookmarkStart w:name="heading_56" w:id="56"/>
      <w:r>
        <w:rPr>
          <w:rFonts w:eastAsia="等线" w:ascii="Arial" w:cs="Arial" w:hAnsi="Arial"/>
          <w:b w:val="true"/>
          <w:sz w:val="30"/>
        </w:rPr>
        <w:t>4.6 贮存运输环境条件</w:t>
      </w:r>
      <w:bookmarkEnd w:id="56"/>
    </w:p>
    <w:p>
      <w:pPr>
        <w:spacing w:before="120" w:after="120" w:line="288" w:lineRule="auto"/>
        <w:ind w:left="0"/>
        <w:jc w:val="left"/>
      </w:pPr>
      <w:r>
        <w:rPr>
          <w:rFonts w:eastAsia="等线" w:ascii="Arial" w:cs="Arial" w:hAnsi="Arial"/>
          <w:sz w:val="22"/>
        </w:rPr>
        <w:t>A）贮存温度‑25℃~+55℃；</w:t>
      </w:r>
    </w:p>
    <w:p>
      <w:pPr>
        <w:spacing w:before="120" w:after="120" w:line="288" w:lineRule="auto"/>
        <w:ind w:left="0"/>
        <w:jc w:val="left"/>
      </w:pPr>
      <w:r>
        <w:rPr>
          <w:rFonts w:eastAsia="等线" w:ascii="Arial" w:cs="Arial" w:hAnsi="Arial"/>
          <w:sz w:val="22"/>
        </w:rPr>
        <w:t>B）相对湿度10%‑95%无凝露；</w:t>
      </w:r>
    </w:p>
    <w:p>
      <w:pPr>
        <w:spacing w:before="120" w:after="120" w:line="288" w:lineRule="auto"/>
        <w:ind w:left="0"/>
        <w:jc w:val="left"/>
      </w:pPr>
      <w:r>
        <w:rPr>
          <w:rFonts w:eastAsia="等线" w:ascii="Arial" w:cs="Arial" w:hAnsi="Arial"/>
          <w:sz w:val="22"/>
        </w:rPr>
        <w:t>C）大气压力70kPa‑106kPa。</w:t>
      </w:r>
    </w:p>
    <w:p>
      <w:pPr>
        <w:pStyle w:val="2"/>
        <w:spacing w:before="320" w:after="120" w:line="288" w:lineRule="auto"/>
        <w:ind w:left="0"/>
        <w:jc w:val="left"/>
        <w:outlineLvl w:val="1"/>
      </w:pPr>
      <w:bookmarkStart w:name="heading_57" w:id="57"/>
      <w:r>
        <w:rPr>
          <w:rFonts w:eastAsia="等线" w:ascii="Arial" w:cs="Arial" w:hAnsi="Arial"/>
          <w:b w:val="true"/>
          <w:sz w:val="32"/>
        </w:rPr>
        <w:t>5 试验方法</w:t>
      </w:r>
      <w:bookmarkEnd w:id="57"/>
    </w:p>
    <w:p>
      <w:pPr>
        <w:pStyle w:val="3"/>
        <w:spacing w:before="300" w:after="120" w:line="288" w:lineRule="auto"/>
        <w:ind w:left="0"/>
        <w:jc w:val="left"/>
        <w:outlineLvl w:val="2"/>
      </w:pPr>
      <w:bookmarkStart w:name="heading_58" w:id="58"/>
      <w:r>
        <w:rPr>
          <w:rFonts w:eastAsia="等线" w:ascii="Arial" w:cs="Arial" w:hAnsi="Arial"/>
          <w:b w:val="true"/>
          <w:sz w:val="30"/>
        </w:rPr>
        <w:t>5.1 试验环境确认</w:t>
      </w:r>
      <w:bookmarkEnd w:id="58"/>
    </w:p>
    <w:p>
      <w:pPr>
        <w:spacing w:before="120" w:after="120" w:line="288" w:lineRule="auto"/>
        <w:ind w:left="0"/>
        <w:jc w:val="left"/>
      </w:pPr>
      <w:r>
        <w:rPr>
          <w:rFonts w:eastAsia="等线" w:ascii="Arial" w:cs="Arial" w:hAnsi="Arial"/>
          <w:sz w:val="22"/>
        </w:rPr>
        <w:t>检测前记录环境温度、湿度、基础振动，满足4.2条款方可试验。</w:t>
      </w:r>
    </w:p>
    <w:p>
      <w:pPr>
        <w:pStyle w:val="3"/>
        <w:spacing w:before="300" w:after="120" w:line="288" w:lineRule="auto"/>
        <w:ind w:left="0"/>
        <w:jc w:val="left"/>
        <w:outlineLvl w:val="2"/>
      </w:pPr>
      <w:bookmarkStart w:name="heading_59" w:id="59"/>
      <w:r>
        <w:rPr>
          <w:rFonts w:eastAsia="等线" w:ascii="Arial" w:cs="Arial" w:hAnsi="Arial"/>
          <w:b w:val="true"/>
          <w:sz w:val="30"/>
        </w:rPr>
        <w:t>5.2 静态刚度检测</w:t>
      </w:r>
      <w:bookmarkEnd w:id="59"/>
    </w:p>
    <w:p>
      <w:pPr>
        <w:spacing w:before="120" w:after="120" w:line="288" w:lineRule="auto"/>
        <w:ind w:left="0"/>
        <w:jc w:val="left"/>
      </w:pPr>
      <w:r>
        <w:rPr>
          <w:rFonts w:eastAsia="等线" w:ascii="Arial" w:cs="Arial" w:hAnsi="Arial"/>
          <w:sz w:val="22"/>
        </w:rPr>
        <w:t>5.2.1 将主轴静止悬浮，保持供气压力恒定；</w:t>
      </w:r>
    </w:p>
    <w:p>
      <w:pPr>
        <w:spacing w:before="120" w:after="120" w:line="288" w:lineRule="auto"/>
        <w:ind w:left="0"/>
        <w:jc w:val="left"/>
      </w:pPr>
      <w:r>
        <w:rPr>
          <w:rFonts w:eastAsia="等线" w:ascii="Arial" w:cs="Arial" w:hAnsi="Arial"/>
          <w:sz w:val="22"/>
        </w:rPr>
        <w:t>5.2.2 分级加载，每级为额定承载力10%，每级保载10s，位移稳定后记录载荷‑位移数据；</w:t>
      </w:r>
    </w:p>
    <w:p>
      <w:pPr>
        <w:spacing w:before="120" w:after="120" w:line="288" w:lineRule="auto"/>
        <w:ind w:left="0"/>
        <w:jc w:val="left"/>
      </w:pPr>
      <w:r>
        <w:rPr>
          <w:rFonts w:eastAsia="等线" w:ascii="Arial" w:cs="Arial" w:hAnsi="Arial"/>
          <w:sz w:val="22"/>
        </w:rPr>
        <w:t>5.2.3 加载至额定载荷停止，计算静态径向、轴向气膜刚度，K等于载荷变化量除以位移变化量。</w:t>
      </w:r>
    </w:p>
    <w:p>
      <w:pPr>
        <w:pStyle w:val="3"/>
        <w:spacing w:before="300" w:after="120" w:line="288" w:lineRule="auto"/>
        <w:ind w:left="0"/>
        <w:jc w:val="left"/>
        <w:outlineLvl w:val="2"/>
      </w:pPr>
      <w:bookmarkStart w:name="heading_60" w:id="60"/>
      <w:r>
        <w:rPr>
          <w:rFonts w:eastAsia="等线" w:ascii="Arial" w:cs="Arial" w:hAnsi="Arial"/>
          <w:b w:val="true"/>
          <w:sz w:val="30"/>
        </w:rPr>
        <w:t>5.3 准动态刚度检测</w:t>
      </w:r>
      <w:bookmarkEnd w:id="60"/>
    </w:p>
    <w:p>
      <w:pPr>
        <w:spacing w:before="120" w:after="120" w:line="288" w:lineRule="auto"/>
        <w:ind w:left="0"/>
        <w:jc w:val="left"/>
      </w:pPr>
      <w:r>
        <w:rPr>
          <w:rFonts w:eastAsia="等线" w:ascii="Arial" w:cs="Arial" w:hAnsi="Arial"/>
          <w:sz w:val="22"/>
        </w:rPr>
        <w:t>5.3.1 主轴升至额定转速，热平衡完成；</w:t>
      </w:r>
    </w:p>
    <w:p>
      <w:pPr>
        <w:spacing w:before="120" w:after="120" w:line="288" w:lineRule="auto"/>
        <w:ind w:left="0"/>
        <w:jc w:val="left"/>
      </w:pPr>
      <w:r>
        <w:rPr>
          <w:rFonts w:eastAsia="等线" w:ascii="Arial" w:cs="Arial" w:hAnsi="Arial"/>
          <w:sz w:val="22"/>
        </w:rPr>
        <w:t>5.3.2 采用与静态刚度同样分级加载流程，记录高速下载荷‑位移，计算动态刚度。</w:t>
      </w:r>
    </w:p>
    <w:p>
      <w:pPr>
        <w:pStyle w:val="3"/>
        <w:spacing w:before="300" w:after="120" w:line="288" w:lineRule="auto"/>
        <w:ind w:left="0"/>
        <w:jc w:val="left"/>
        <w:outlineLvl w:val="2"/>
      </w:pPr>
      <w:bookmarkStart w:name="heading_61" w:id="61"/>
      <w:r>
        <w:rPr>
          <w:rFonts w:eastAsia="等线" w:ascii="Arial" w:cs="Arial" w:hAnsi="Arial"/>
          <w:b w:val="true"/>
          <w:sz w:val="30"/>
        </w:rPr>
        <w:t>5.4 滞回特性检测</w:t>
      </w:r>
      <w:bookmarkEnd w:id="61"/>
    </w:p>
    <w:p>
      <w:pPr>
        <w:spacing w:before="120" w:after="120" w:line="288" w:lineRule="auto"/>
        <w:ind w:left="0"/>
        <w:jc w:val="left"/>
      </w:pPr>
      <w:r>
        <w:rPr>
          <w:rFonts w:eastAsia="等线" w:ascii="Arial" w:cs="Arial" w:hAnsi="Arial"/>
          <w:sz w:val="22"/>
        </w:rPr>
        <w:t>5.4.1 分级加载至100%额定载荷；</w:t>
      </w:r>
    </w:p>
    <w:p>
      <w:pPr>
        <w:spacing w:before="120" w:after="120" w:line="288" w:lineRule="auto"/>
        <w:ind w:left="0"/>
        <w:jc w:val="left"/>
      </w:pPr>
      <w:r>
        <w:rPr>
          <w:rFonts w:eastAsia="等线" w:ascii="Arial" w:cs="Arial" w:hAnsi="Arial"/>
          <w:sz w:val="22"/>
        </w:rPr>
        <w:t>5.4.2 逐级卸载至零载荷；</w:t>
      </w:r>
    </w:p>
    <w:p>
      <w:pPr>
        <w:spacing w:before="120" w:after="120" w:line="288" w:lineRule="auto"/>
        <w:ind w:left="0"/>
        <w:jc w:val="left"/>
      </w:pPr>
      <w:r>
        <w:rPr>
          <w:rFonts w:eastAsia="等线" w:ascii="Arial" w:cs="Arial" w:hAnsi="Arial"/>
          <w:sz w:val="22"/>
        </w:rPr>
        <w:t>5.4.3 记录完整加载‑卸载闭环数据，计算滞回误差。</w:t>
      </w:r>
    </w:p>
    <w:p>
      <w:pPr>
        <w:pStyle w:val="3"/>
        <w:spacing w:before="300" w:after="120" w:line="288" w:lineRule="auto"/>
        <w:ind w:left="0"/>
        <w:jc w:val="left"/>
        <w:outlineLvl w:val="2"/>
      </w:pPr>
      <w:bookmarkStart w:name="heading_62" w:id="62"/>
      <w:r>
        <w:rPr>
          <w:rFonts w:eastAsia="等线" w:ascii="Arial" w:cs="Arial" w:hAnsi="Arial"/>
          <w:b w:val="true"/>
          <w:sz w:val="30"/>
        </w:rPr>
        <w:t>5.5 临界失稳载荷检测（可选项目）</w:t>
      </w:r>
      <w:bookmarkEnd w:id="62"/>
    </w:p>
    <w:p>
      <w:pPr>
        <w:spacing w:before="120" w:after="120" w:line="288" w:lineRule="auto"/>
        <w:ind w:left="0"/>
        <w:jc w:val="left"/>
      </w:pPr>
      <w:r>
        <w:rPr>
          <w:rFonts w:eastAsia="等线" w:ascii="Arial" w:cs="Arial" w:hAnsi="Arial"/>
          <w:sz w:val="22"/>
        </w:rPr>
        <w:t>安全防护条件下缓慢超额定载荷加载，记录振动、位移突变时刻载荷，立刻停止加载防止碰磨损伤主轴。</w:t>
      </w:r>
    </w:p>
    <w:p>
      <w:pPr>
        <w:pStyle w:val="3"/>
        <w:spacing w:before="300" w:after="120" w:line="288" w:lineRule="auto"/>
        <w:ind w:left="0"/>
        <w:jc w:val="left"/>
        <w:outlineLvl w:val="2"/>
      </w:pPr>
      <w:bookmarkStart w:name="heading_63" w:id="63"/>
      <w:r>
        <w:rPr>
          <w:rFonts w:eastAsia="等线" w:ascii="Arial" w:cs="Arial" w:hAnsi="Arial"/>
          <w:b w:val="true"/>
          <w:sz w:val="30"/>
        </w:rPr>
        <w:t>5.6 数据处理</w:t>
      </w:r>
      <w:bookmarkEnd w:id="63"/>
    </w:p>
    <w:p>
      <w:pPr>
        <w:spacing w:before="120" w:after="120" w:line="288" w:lineRule="auto"/>
        <w:ind w:left="0"/>
        <w:jc w:val="left"/>
      </w:pPr>
      <w:r>
        <w:rPr>
          <w:rFonts w:eastAsia="等线" w:ascii="Arial" w:cs="Arial" w:hAnsi="Arial"/>
          <w:sz w:val="22"/>
        </w:rPr>
        <w:t>根据采集数据计算刚度、滞回误差、承载裕量，绘制载荷‑位移特性曲线。</w:t>
      </w:r>
    </w:p>
    <w:p>
      <w:pPr>
        <w:pStyle w:val="2"/>
        <w:spacing w:before="320" w:after="120" w:line="288" w:lineRule="auto"/>
        <w:ind w:left="0"/>
        <w:jc w:val="left"/>
        <w:outlineLvl w:val="1"/>
      </w:pPr>
      <w:bookmarkStart w:name="heading_64" w:id="64"/>
      <w:r>
        <w:rPr>
          <w:rFonts w:eastAsia="等线" w:ascii="Arial" w:cs="Arial" w:hAnsi="Arial"/>
          <w:b w:val="true"/>
          <w:sz w:val="32"/>
        </w:rPr>
        <w:t>6 检验规则</w:t>
      </w:r>
      <w:bookmarkEnd w:id="64"/>
    </w:p>
    <w:p>
      <w:pPr>
        <w:pStyle w:val="3"/>
        <w:spacing w:before="300" w:after="120" w:line="288" w:lineRule="auto"/>
        <w:ind w:left="0"/>
        <w:jc w:val="left"/>
        <w:outlineLvl w:val="2"/>
      </w:pPr>
      <w:bookmarkStart w:name="heading_65" w:id="65"/>
      <w:r>
        <w:rPr>
          <w:rFonts w:eastAsia="等线" w:ascii="Arial" w:cs="Arial" w:hAnsi="Arial"/>
          <w:b w:val="true"/>
          <w:sz w:val="30"/>
        </w:rPr>
        <w:t>6.1 检验分类</w:t>
      </w:r>
      <w:bookmarkEnd w:id="65"/>
    </w:p>
    <w:p>
      <w:pPr>
        <w:pStyle w:val="4"/>
        <w:spacing w:before="260" w:after="120" w:line="288" w:lineRule="auto"/>
        <w:ind w:left="0"/>
        <w:jc w:val="left"/>
        <w:outlineLvl w:val="3"/>
      </w:pPr>
      <w:bookmarkStart w:name="heading_66" w:id="66"/>
      <w:r>
        <w:rPr>
          <w:rFonts w:eastAsia="等线" w:ascii="Arial" w:cs="Arial" w:hAnsi="Arial"/>
          <w:b w:val="true"/>
          <w:sz w:val="28"/>
        </w:rPr>
        <w:t>6.1.1 定型检验</w:t>
      </w:r>
      <w:bookmarkEnd w:id="66"/>
    </w:p>
    <w:p>
      <w:pPr>
        <w:spacing w:before="120" w:after="120" w:line="288" w:lineRule="auto"/>
        <w:ind w:left="0"/>
        <w:jc w:val="left"/>
      </w:pPr>
      <w:r>
        <w:rPr>
          <w:rFonts w:eastAsia="等线" w:ascii="Arial" w:cs="Arial" w:hAnsi="Arial"/>
          <w:sz w:val="22"/>
        </w:rPr>
        <w:t>A）检测系统设备设计定型改造完成后，应进行定型检验；</w:t>
      </w:r>
    </w:p>
    <w:p>
      <w:pPr>
        <w:spacing w:before="120" w:after="120" w:line="288" w:lineRule="auto"/>
        <w:ind w:left="0"/>
        <w:jc w:val="left"/>
      </w:pPr>
      <w:r>
        <w:rPr>
          <w:rFonts w:eastAsia="等线" w:ascii="Arial" w:cs="Arial" w:hAnsi="Arial"/>
          <w:sz w:val="22"/>
        </w:rPr>
        <w:t>B）定型检验项目：设备参数核查、环境条件核查、静态刚度检测、准动态刚度检测、滞回特性检测、电气安全；</w:t>
      </w:r>
    </w:p>
    <w:p>
      <w:pPr>
        <w:spacing w:before="120" w:after="120" w:line="288" w:lineRule="auto"/>
        <w:ind w:left="0"/>
        <w:jc w:val="left"/>
      </w:pPr>
      <w:r>
        <w:rPr>
          <w:rFonts w:eastAsia="等线" w:ascii="Arial" w:cs="Arial" w:hAnsi="Arial"/>
          <w:sz w:val="22"/>
        </w:rPr>
        <w:t>C）定型检验完成出具定型检验报告。</w:t>
      </w:r>
    </w:p>
    <w:p>
      <w:pPr>
        <w:pStyle w:val="4"/>
        <w:spacing w:before="260" w:after="120" w:line="288" w:lineRule="auto"/>
        <w:ind w:left="0"/>
        <w:jc w:val="left"/>
        <w:outlineLvl w:val="3"/>
      </w:pPr>
      <w:bookmarkStart w:name="heading_67" w:id="67"/>
      <w:r>
        <w:rPr>
          <w:rFonts w:eastAsia="等线" w:ascii="Arial" w:cs="Arial" w:hAnsi="Arial"/>
          <w:b w:val="true"/>
          <w:sz w:val="28"/>
        </w:rPr>
        <w:t>6.1.2 出厂检验</w:t>
      </w:r>
      <w:bookmarkEnd w:id="67"/>
    </w:p>
    <w:p>
      <w:pPr>
        <w:spacing w:before="120" w:after="120" w:line="288" w:lineRule="auto"/>
        <w:ind w:left="0"/>
        <w:jc w:val="left"/>
      </w:pPr>
      <w:r>
        <w:rPr>
          <w:rFonts w:eastAsia="等线" w:ascii="Arial" w:cs="Arial" w:hAnsi="Arial"/>
          <w:sz w:val="22"/>
        </w:rPr>
        <w:t>A）每台被测气浮主轴完成出厂检测必须执行出厂检验；</w:t>
      </w:r>
    </w:p>
    <w:p>
      <w:pPr>
        <w:spacing w:before="120" w:after="120" w:line="288" w:lineRule="auto"/>
        <w:ind w:left="0"/>
        <w:jc w:val="left"/>
      </w:pPr>
      <w:r>
        <w:rPr>
          <w:rFonts w:eastAsia="等线" w:ascii="Arial" w:cs="Arial" w:hAnsi="Arial"/>
          <w:sz w:val="22"/>
        </w:rPr>
        <w:t>B）出厂检验项目：外观检查、气密性、静态气膜刚度、额定承载力；</w:t>
      </w:r>
    </w:p>
    <w:p>
      <w:pPr>
        <w:spacing w:before="120" w:after="120" w:line="288" w:lineRule="auto"/>
        <w:ind w:left="0"/>
        <w:jc w:val="left"/>
      </w:pPr>
      <w:r>
        <w:rPr>
          <w:rFonts w:eastAsia="等线" w:ascii="Arial" w:cs="Arial" w:hAnsi="Arial"/>
          <w:sz w:val="22"/>
        </w:rPr>
        <w:t>C）检验合格出具检测报告。</w:t>
      </w:r>
    </w:p>
    <w:p>
      <w:pPr>
        <w:pStyle w:val="4"/>
        <w:spacing w:before="260" w:after="120" w:line="288" w:lineRule="auto"/>
        <w:ind w:left="0"/>
        <w:jc w:val="left"/>
        <w:outlineLvl w:val="3"/>
      </w:pPr>
      <w:bookmarkStart w:name="heading_68" w:id="68"/>
      <w:r>
        <w:rPr>
          <w:rFonts w:eastAsia="等线" w:ascii="Arial" w:cs="Arial" w:hAnsi="Arial"/>
          <w:b w:val="true"/>
          <w:sz w:val="28"/>
        </w:rPr>
        <w:t>6.1.3 型式检验</w:t>
      </w:r>
      <w:bookmarkEnd w:id="68"/>
    </w:p>
    <w:p>
      <w:pPr>
        <w:spacing w:before="120" w:after="120" w:line="288" w:lineRule="auto"/>
        <w:ind w:left="0"/>
        <w:jc w:val="left"/>
      </w:pPr>
      <w:r>
        <w:rPr>
          <w:rFonts w:eastAsia="等线" w:ascii="Arial" w:cs="Arial" w:hAnsi="Arial"/>
          <w:sz w:val="22"/>
        </w:rPr>
        <w:t>A）设备大修、重大部件更换、每半年周期应做型式检验；</w:t>
      </w:r>
    </w:p>
    <w:p>
      <w:pPr>
        <w:spacing w:before="120" w:after="120" w:line="288" w:lineRule="auto"/>
        <w:ind w:left="0"/>
        <w:jc w:val="left"/>
      </w:pPr>
      <w:r>
        <w:rPr>
          <w:rFonts w:eastAsia="等线" w:ascii="Arial" w:cs="Arial" w:hAnsi="Arial"/>
          <w:sz w:val="22"/>
        </w:rPr>
        <w:t>B）型式检验包含全部检测项目，含准动态刚度、滞回特性、安全项目。</w:t>
      </w:r>
    </w:p>
    <w:p>
      <w:pPr>
        <w:pStyle w:val="3"/>
        <w:spacing w:before="300" w:after="120" w:line="288" w:lineRule="auto"/>
        <w:ind w:left="0"/>
        <w:jc w:val="left"/>
        <w:outlineLvl w:val="2"/>
      </w:pPr>
      <w:bookmarkStart w:name="heading_69" w:id="69"/>
      <w:r>
        <w:rPr>
          <w:rFonts w:eastAsia="等线" w:ascii="Arial" w:cs="Arial" w:hAnsi="Arial"/>
          <w:b w:val="true"/>
          <w:sz w:val="30"/>
        </w:rPr>
        <w:t>6.2 产品质量特性重要度及判定规则</w:t>
      </w:r>
      <w:bookmarkEnd w:id="69"/>
    </w:p>
    <w:p>
      <w:pPr>
        <w:spacing w:before="120" w:after="120" w:line="288" w:lineRule="auto"/>
        <w:ind w:left="0"/>
        <w:jc w:val="left"/>
      </w:pPr>
      <w:r>
        <w:rPr>
          <w:rFonts w:eastAsia="等线" w:ascii="Arial" w:cs="Arial" w:hAnsi="Arial"/>
          <w:sz w:val="22"/>
        </w:rPr>
        <w:t>按照JB/T5058‑2006，质量特性分为a、b两级：</w:t>
      </w:r>
    </w:p>
    <w:p>
      <w:pPr>
        <w:spacing w:before="120" w:after="120" w:line="288" w:lineRule="auto"/>
        <w:ind w:left="0"/>
        <w:jc w:val="left"/>
      </w:pPr>
      <w:r>
        <w:rPr>
          <w:rFonts w:eastAsia="等线" w:ascii="Arial" w:cs="Arial" w:hAnsi="Arial"/>
          <w:sz w:val="22"/>
        </w:rPr>
        <w:t>A）a级重要度：直接影响检测结果有效性、人身安全项目；</w:t>
      </w:r>
    </w:p>
    <w:p>
      <w:pPr>
        <w:spacing w:before="120" w:after="120" w:line="288" w:lineRule="auto"/>
        <w:ind w:left="0"/>
        <w:jc w:val="left"/>
      </w:pPr>
      <w:r>
        <w:rPr>
          <w:rFonts w:eastAsia="等线" w:ascii="Arial" w:cs="Arial" w:hAnsi="Arial"/>
          <w:sz w:val="22"/>
        </w:rPr>
        <w:t>B）b级重要度：辅助记录、非关键附属项目。</w:t>
      </w:r>
    </w:p>
    <w:p>
      <w:pPr>
        <w:spacing w:before="120" w:after="120" w:line="288" w:lineRule="auto"/>
        <w:ind w:left="0"/>
        <w:jc w:val="left"/>
      </w:pPr>
      <w:r>
        <w:rPr>
          <w:rFonts w:eastAsia="等线" w:ascii="Arial" w:cs="Arial" w:hAnsi="Arial"/>
          <w:sz w:val="22"/>
        </w:rPr>
        <w:t>判定规则：</w:t>
      </w:r>
    </w:p>
    <w:p>
      <w:pPr>
        <w:spacing w:before="120" w:after="120" w:line="288" w:lineRule="auto"/>
        <w:ind w:left="0"/>
        <w:jc w:val="left"/>
      </w:pPr>
      <w:r>
        <w:rPr>
          <w:rFonts w:eastAsia="等线" w:ascii="Arial" w:cs="Arial" w:hAnsi="Arial"/>
          <w:sz w:val="22"/>
        </w:rPr>
        <w:t>A）检验出现不合格，排除故障后复检一次；再次不合格判定不合格；</w:t>
      </w:r>
    </w:p>
    <w:p>
      <w:pPr>
        <w:spacing w:before="120" w:after="120" w:line="288" w:lineRule="auto"/>
        <w:ind w:left="0"/>
        <w:jc w:val="left"/>
      </w:pPr>
      <w:r>
        <w:rPr>
          <w:rFonts w:eastAsia="等线" w:ascii="Arial" w:cs="Arial" w:hAnsi="Arial"/>
          <w:sz w:val="22"/>
        </w:rPr>
        <w:t>B）a级项目出现缺陷直接判定不合格；</w:t>
      </w:r>
    </w:p>
    <w:p>
      <w:pPr>
        <w:spacing w:before="120" w:after="120" w:line="288" w:lineRule="auto"/>
        <w:ind w:left="0"/>
        <w:jc w:val="left"/>
      </w:pPr>
      <w:r>
        <w:rPr>
          <w:rFonts w:eastAsia="等线" w:ascii="Arial" w:cs="Arial" w:hAnsi="Arial"/>
          <w:sz w:val="22"/>
        </w:rPr>
        <w:t>C）两个及以上b级缺陷，判定不合格。</w:t>
      </w:r>
    </w:p>
    <w:p>
      <w:pPr>
        <w:pStyle w:val="3"/>
        <w:spacing w:before="300" w:after="120" w:line="288" w:lineRule="auto"/>
        <w:ind w:left="0"/>
        <w:jc w:val="left"/>
        <w:outlineLvl w:val="2"/>
      </w:pPr>
      <w:bookmarkStart w:name="heading_70" w:id="70"/>
      <w:r>
        <w:rPr>
          <w:rFonts w:eastAsia="等线" w:ascii="Arial" w:cs="Arial" w:hAnsi="Arial"/>
          <w:b w:val="true"/>
          <w:sz w:val="30"/>
        </w:rPr>
        <w:t>6.3 检验顺序</w:t>
      </w:r>
      <w:bookmarkEnd w:id="70"/>
    </w:p>
    <w:p>
      <w:pPr>
        <w:spacing w:before="120" w:after="120" w:line="288" w:lineRule="auto"/>
        <w:ind w:left="0"/>
        <w:jc w:val="left"/>
      </w:pPr>
      <w:r>
        <w:rPr>
          <w:rFonts w:eastAsia="等线" w:ascii="Arial" w:cs="Arial" w:hAnsi="Arial"/>
          <w:sz w:val="22"/>
        </w:rPr>
        <w:t>外观及气密性检查→环境确认→静态刚度检测→准动态刚度检测→滞回特性检测→安全项目。</w:t>
      </w:r>
    </w:p>
    <w:p>
      <w:pPr>
        <w:pStyle w:val="2"/>
        <w:spacing w:before="320" w:after="120" w:line="288" w:lineRule="auto"/>
        <w:ind w:left="0"/>
        <w:jc w:val="left"/>
        <w:outlineLvl w:val="1"/>
      </w:pPr>
      <w:bookmarkStart w:name="heading_71" w:id="71"/>
      <w:r>
        <w:rPr>
          <w:rFonts w:eastAsia="等线" w:ascii="Arial" w:cs="Arial" w:hAnsi="Arial"/>
          <w:b w:val="true"/>
          <w:sz w:val="32"/>
        </w:rPr>
        <w:t>7 标志、包装、运输与贮存</w:t>
      </w:r>
      <w:bookmarkEnd w:id="71"/>
    </w:p>
    <w:p>
      <w:pPr>
        <w:pStyle w:val="3"/>
        <w:spacing w:before="300" w:after="120" w:line="288" w:lineRule="auto"/>
        <w:ind w:left="0"/>
        <w:jc w:val="left"/>
        <w:outlineLvl w:val="2"/>
      </w:pPr>
      <w:bookmarkStart w:name="heading_72" w:id="72"/>
      <w:r>
        <w:rPr>
          <w:rFonts w:eastAsia="等线" w:ascii="Arial" w:cs="Arial" w:hAnsi="Arial"/>
          <w:b w:val="true"/>
          <w:sz w:val="30"/>
        </w:rPr>
        <w:t>7.1 检测报告标识</w:t>
      </w:r>
      <w:bookmarkEnd w:id="72"/>
    </w:p>
    <w:p>
      <w:pPr>
        <w:spacing w:before="120" w:after="120" w:line="288" w:lineRule="auto"/>
        <w:ind w:left="0"/>
        <w:jc w:val="left"/>
      </w:pPr>
      <w:r>
        <w:rPr>
          <w:rFonts w:eastAsia="等线" w:ascii="Arial" w:cs="Arial" w:hAnsi="Arial"/>
          <w:sz w:val="22"/>
        </w:rPr>
        <w:t>检测报告应标明本企业标准编号Q/ZGB 002‑2026，样品编号、设备编号、检测日期。</w:t>
      </w:r>
    </w:p>
    <w:p>
      <w:pPr>
        <w:pStyle w:val="3"/>
        <w:spacing w:before="300" w:after="120" w:line="288" w:lineRule="auto"/>
        <w:ind w:left="0"/>
        <w:jc w:val="left"/>
        <w:outlineLvl w:val="2"/>
      </w:pPr>
      <w:bookmarkStart w:name="heading_73" w:id="73"/>
      <w:r>
        <w:rPr>
          <w:rFonts w:eastAsia="等线" w:ascii="Arial" w:cs="Arial" w:hAnsi="Arial"/>
          <w:b w:val="true"/>
          <w:sz w:val="30"/>
        </w:rPr>
        <w:t>7.2 被测样品包装</w:t>
      </w:r>
      <w:bookmarkEnd w:id="73"/>
    </w:p>
    <w:p>
      <w:pPr>
        <w:spacing w:before="120" w:after="120" w:line="288" w:lineRule="auto"/>
        <w:ind w:left="0"/>
        <w:jc w:val="left"/>
      </w:pPr>
      <w:r>
        <w:rPr>
          <w:rFonts w:eastAsia="等线" w:ascii="Arial" w:cs="Arial" w:hAnsi="Arial"/>
          <w:sz w:val="22"/>
        </w:rPr>
        <w:t>完成检测后的气浮主轴按照企业零部件包装规范，防潮防震封装。</w:t>
      </w:r>
    </w:p>
    <w:p>
      <w:pPr>
        <w:pStyle w:val="3"/>
        <w:spacing w:before="300" w:after="120" w:line="288" w:lineRule="auto"/>
        <w:ind w:left="0"/>
        <w:jc w:val="left"/>
        <w:outlineLvl w:val="2"/>
      </w:pPr>
      <w:bookmarkStart w:name="heading_74" w:id="74"/>
      <w:r>
        <w:rPr>
          <w:rFonts w:eastAsia="等线" w:ascii="Arial" w:cs="Arial" w:hAnsi="Arial"/>
          <w:b w:val="true"/>
          <w:sz w:val="30"/>
        </w:rPr>
        <w:t>7.3 运输</w:t>
      </w:r>
      <w:bookmarkEnd w:id="74"/>
    </w:p>
    <w:p>
      <w:pPr>
        <w:spacing w:before="120" w:after="120" w:line="288" w:lineRule="auto"/>
        <w:ind w:left="0"/>
        <w:jc w:val="left"/>
      </w:pPr>
      <w:r>
        <w:rPr>
          <w:rFonts w:eastAsia="等线" w:ascii="Arial" w:cs="Arial" w:hAnsi="Arial"/>
          <w:sz w:val="22"/>
        </w:rPr>
        <w:t>避免撞击、露天淋雨，防止节流部位磕碰损伤。</w:t>
      </w:r>
    </w:p>
    <w:p>
      <w:pPr>
        <w:pStyle w:val="3"/>
        <w:spacing w:before="300" w:after="120" w:line="288" w:lineRule="auto"/>
        <w:ind w:left="0"/>
        <w:jc w:val="left"/>
        <w:outlineLvl w:val="2"/>
      </w:pPr>
      <w:bookmarkStart w:name="heading_75" w:id="75"/>
      <w:r>
        <w:rPr>
          <w:rFonts w:eastAsia="等线" w:ascii="Arial" w:cs="Arial" w:hAnsi="Arial"/>
          <w:b w:val="true"/>
          <w:sz w:val="30"/>
        </w:rPr>
        <w:t>7.4 贮存</w:t>
      </w:r>
      <w:bookmarkEnd w:id="75"/>
    </w:p>
    <w:p>
      <w:pPr>
        <w:spacing w:before="120" w:after="120" w:line="288" w:lineRule="auto"/>
        <w:ind w:left="0"/>
        <w:jc w:val="left"/>
      </w:pPr>
      <w:r>
        <w:rPr>
          <w:rFonts w:eastAsia="等线" w:ascii="Arial" w:cs="Arial" w:hAnsi="Arial"/>
          <w:sz w:val="22"/>
        </w:rPr>
        <w:t>置于干燥通风库房，环境温度0‑40℃；气浮主轴长期存放应做好防尘保护。</w:t>
      </w:r>
    </w:p>
    <w:p>
      <w:pPr>
        <w:pStyle w:val="1"/>
        <w:spacing w:before="380" w:after="140" w:line="288" w:lineRule="auto"/>
        <w:ind w:left="0"/>
        <w:jc w:val="left"/>
        <w:outlineLvl w:val="0"/>
      </w:pPr>
      <w:bookmarkStart w:name="heading_76" w:id="76"/>
      <w:r>
        <w:rPr>
          <w:rFonts w:eastAsia="等线" w:ascii="Arial" w:cs="Arial" w:hAnsi="Arial"/>
          <w:b w:val="true"/>
          <w:sz w:val="36"/>
        </w:rPr>
        <w:t>Q/ZGB 003‑2026 PCB钻孔用气浮电主轴产品通用技术规范</w:t>
      </w:r>
      <w:bookmarkEnd w:id="76"/>
    </w:p>
    <w:p>
      <w:pPr>
        <w:pStyle w:val="2"/>
        <w:spacing w:before="320" w:after="120" w:line="288" w:lineRule="auto"/>
        <w:ind w:left="0"/>
        <w:jc w:val="left"/>
        <w:outlineLvl w:val="1"/>
      </w:pPr>
      <w:bookmarkStart w:name="heading_77" w:id="77"/>
      <w:r>
        <w:rPr>
          <w:rFonts w:eastAsia="等线" w:ascii="Arial" w:cs="Arial" w:hAnsi="Arial"/>
          <w:b w:val="true"/>
          <w:sz w:val="32"/>
        </w:rPr>
        <w:t>前 言</w:t>
      </w:r>
      <w:bookmarkEnd w:id="77"/>
    </w:p>
    <w:p>
      <w:pPr>
        <w:spacing w:before="120" w:after="120" w:line="288" w:lineRule="auto"/>
        <w:ind w:left="0"/>
        <w:jc w:val="left"/>
      </w:pPr>
      <w:r>
        <w:rPr>
          <w:rFonts w:eastAsia="等线" w:ascii="Arial" w:cs="Arial" w:hAnsi="Arial"/>
          <w:sz w:val="22"/>
        </w:rPr>
        <w:t>本标准参照GB/T 9061‑2006、GB 15760‑2004、GB/T 17421.1‑1998、JB/T13826‑2020给出的规则起草。</w:t>
      </w:r>
    </w:p>
    <w:p>
      <w:pPr>
        <w:spacing w:before="120" w:after="120" w:line="288" w:lineRule="auto"/>
        <w:ind w:left="0"/>
        <w:jc w:val="left"/>
      </w:pPr>
      <w:r>
        <w:rPr>
          <w:rFonts w:eastAsia="等线" w:ascii="Arial" w:cs="Arial" w:hAnsi="Arial"/>
          <w:sz w:val="22"/>
        </w:rPr>
        <w:t>本标准由浙江朱光波机械科技有限公司提出并负责起草。</w:t>
      </w:r>
    </w:p>
    <w:p>
      <w:pPr>
        <w:spacing w:before="120" w:after="120" w:line="288" w:lineRule="auto"/>
        <w:ind w:left="0"/>
        <w:jc w:val="left"/>
      </w:pPr>
      <w:r>
        <w:rPr>
          <w:rFonts w:eastAsia="等线" w:ascii="Arial" w:cs="Arial" w:hAnsi="Arial"/>
          <w:sz w:val="22"/>
        </w:rPr>
        <w:t>本标准主要起草人：朱光波、王大力、陈先锋。</w:t>
      </w:r>
    </w:p>
    <w:p>
      <w:pPr>
        <w:spacing w:before="120" w:after="120" w:line="288" w:lineRule="auto"/>
        <w:ind w:left="0"/>
        <w:jc w:val="left"/>
      </w:pPr>
      <w:r>
        <w:rPr>
          <w:rFonts w:eastAsia="等线" w:ascii="Arial" w:cs="Arial" w:hAnsi="Arial"/>
          <w:sz w:val="22"/>
        </w:rPr>
        <w:t>本标准2026年XX月XX日首次发布，2026年XX月XX日实施。</w:t>
      </w:r>
    </w:p>
    <w:p>
      <w:pPr>
        <w:pStyle w:val="2"/>
        <w:spacing w:before="320" w:after="120" w:line="288" w:lineRule="auto"/>
        <w:ind w:left="0"/>
        <w:jc w:val="left"/>
        <w:outlineLvl w:val="1"/>
      </w:pPr>
      <w:bookmarkStart w:name="heading_78" w:id="78"/>
      <w:r>
        <w:rPr>
          <w:rFonts w:eastAsia="等线" w:ascii="Arial" w:cs="Arial" w:hAnsi="Arial"/>
          <w:b w:val="true"/>
          <w:sz w:val="32"/>
        </w:rPr>
        <w:t>1 范围</w:t>
      </w:r>
      <w:bookmarkEnd w:id="78"/>
    </w:p>
    <w:p>
      <w:pPr>
        <w:spacing w:before="120" w:after="120" w:line="288" w:lineRule="auto"/>
        <w:ind w:left="0"/>
        <w:jc w:val="left"/>
      </w:pPr>
      <w:r>
        <w:rPr>
          <w:rFonts w:eastAsia="等线" w:ascii="Arial" w:cs="Arial" w:hAnsi="Arial"/>
          <w:sz w:val="22"/>
        </w:rPr>
        <w:t>本标准规定了印制电路板（PCB）钻孔用气浮电主轴的术语和定义、产品分类、技术要求、试验方法、检验规则、标志、包装、运输和贮存。</w:t>
      </w:r>
    </w:p>
    <w:p>
      <w:pPr>
        <w:spacing w:before="120" w:after="120" w:line="288" w:lineRule="auto"/>
        <w:ind w:left="0"/>
        <w:jc w:val="left"/>
      </w:pPr>
      <w:r>
        <w:rPr>
          <w:rFonts w:eastAsia="等线" w:ascii="Arial" w:cs="Arial" w:hAnsi="Arial"/>
          <w:sz w:val="22"/>
        </w:rPr>
        <w:t>本标准适用于本公司生产小孔节流、多孔质节流PCB微孔钻孔超高速气浮电主轴，作为产品设计、制造、出厂检验、客户验收、合同签订的技术依据。</w:t>
      </w:r>
    </w:p>
    <w:p>
      <w:pPr>
        <w:spacing w:before="120" w:after="120" w:line="288" w:lineRule="auto"/>
        <w:ind w:left="0"/>
        <w:jc w:val="left"/>
      </w:pPr>
      <w:r>
        <w:rPr>
          <w:rFonts w:eastAsia="等线" w:ascii="Arial" w:cs="Arial" w:hAnsi="Arial"/>
          <w:sz w:val="22"/>
        </w:rPr>
        <w:t>本标准不适用于滚动轴承电主轴、液体静压主轴。</w:t>
      </w:r>
    </w:p>
    <w:p>
      <w:pPr>
        <w:pStyle w:val="2"/>
        <w:spacing w:before="320" w:after="120" w:line="288" w:lineRule="auto"/>
        <w:ind w:left="0"/>
        <w:jc w:val="left"/>
        <w:outlineLvl w:val="1"/>
      </w:pPr>
      <w:bookmarkStart w:name="heading_79" w:id="79"/>
      <w:r>
        <w:rPr>
          <w:rFonts w:eastAsia="等线" w:ascii="Arial" w:cs="Arial" w:hAnsi="Arial"/>
          <w:b w:val="true"/>
          <w:sz w:val="32"/>
        </w:rPr>
        <w:t>2 规范性引用文件</w:t>
      </w:r>
      <w:bookmarkEnd w:id="79"/>
    </w:p>
    <w:p>
      <w:pPr>
        <w:spacing w:before="120" w:after="120" w:line="288" w:lineRule="auto"/>
        <w:ind w:left="0"/>
        <w:jc w:val="left"/>
      </w:pPr>
      <w:r>
        <w:rPr>
          <w:rFonts w:eastAsia="等线" w:ascii="Arial" w:cs="Arial" w:hAnsi="Arial"/>
          <w:sz w:val="22"/>
        </w:rPr>
        <w:t>下列文件对于本文件的应用是必不可少的。凡是注日期的引用文件，仅所注日期的版本适用于本文件。凡是不注日期的引用文件，其最新版本(包括所有的修改单)适用于本文件。</w:t>
      </w:r>
    </w:p>
    <w:p>
      <w:pPr>
        <w:numPr>
          <w:numId w:val="16"/>
        </w:numPr>
        <w:spacing w:before="120" w:after="120" w:line="288" w:lineRule="auto"/>
        <w:ind w:left="0"/>
        <w:jc w:val="left"/>
      </w:pPr>
      <w:r>
        <w:rPr>
          <w:rFonts w:eastAsia="等线" w:ascii="Arial" w:cs="Arial" w:hAnsi="Arial"/>
          <w:sz w:val="22"/>
        </w:rPr>
        <w:t>GB/T 3187 可靠性、维修性术语</w:t>
      </w:r>
    </w:p>
    <w:p>
      <w:pPr>
        <w:numPr>
          <w:numId w:val="17"/>
        </w:numPr>
        <w:spacing w:before="120" w:after="120" w:line="288" w:lineRule="auto"/>
        <w:ind w:left="0"/>
        <w:jc w:val="left"/>
      </w:pPr>
      <w:r>
        <w:rPr>
          <w:rFonts w:eastAsia="等线" w:ascii="Arial" w:cs="Arial" w:hAnsi="Arial"/>
          <w:sz w:val="22"/>
        </w:rPr>
        <w:t>GB 5226.1 机械安全 机械电气设备</w:t>
      </w:r>
    </w:p>
    <w:p>
      <w:pPr>
        <w:numPr>
          <w:numId w:val="18"/>
        </w:numPr>
        <w:spacing w:before="120" w:after="120" w:line="288" w:lineRule="auto"/>
        <w:ind w:left="0"/>
        <w:jc w:val="left"/>
      </w:pPr>
      <w:r>
        <w:rPr>
          <w:rFonts w:eastAsia="等线" w:ascii="Arial" w:cs="Arial" w:hAnsi="Arial"/>
          <w:sz w:val="22"/>
        </w:rPr>
        <w:t>GB/T 6075.3 机械振动 在非旋转部件上测量和评价机器振动 第3部分：工业机器</w:t>
      </w:r>
    </w:p>
    <w:p>
      <w:pPr>
        <w:numPr>
          <w:numId w:val="19"/>
        </w:numPr>
        <w:spacing w:before="120" w:after="120" w:line="288" w:lineRule="auto"/>
        <w:ind w:left="0"/>
        <w:jc w:val="left"/>
      </w:pPr>
      <w:r>
        <w:rPr>
          <w:rFonts w:eastAsia="等线" w:ascii="Arial" w:cs="Arial" w:hAnsi="Arial"/>
          <w:sz w:val="22"/>
        </w:rPr>
        <w:t>JB/T 13826‑2020 电主轴性能试验规范</w:t>
      </w:r>
    </w:p>
    <w:p>
      <w:pPr>
        <w:numPr>
          <w:numId w:val="20"/>
        </w:numPr>
        <w:spacing w:before="120" w:after="120" w:line="288" w:lineRule="auto"/>
        <w:ind w:left="0"/>
        <w:jc w:val="left"/>
      </w:pPr>
      <w:r>
        <w:rPr>
          <w:rFonts w:eastAsia="等线" w:ascii="Arial" w:cs="Arial" w:hAnsi="Arial"/>
          <w:sz w:val="22"/>
        </w:rPr>
        <w:t>GB/T 5169.16‑2008 电工电子产品着火危险试验</w:t>
      </w:r>
    </w:p>
    <w:p>
      <w:pPr>
        <w:numPr>
          <w:numId w:val="21"/>
        </w:numPr>
        <w:spacing w:before="120" w:after="120" w:line="288" w:lineRule="auto"/>
        <w:ind w:left="0"/>
        <w:jc w:val="left"/>
      </w:pPr>
      <w:r>
        <w:rPr>
          <w:rFonts w:eastAsia="等线" w:ascii="Arial" w:cs="Arial" w:hAnsi="Arial"/>
          <w:sz w:val="22"/>
        </w:rPr>
        <w:t>ISO8573‑1 压缩空气 第1部分：污染物和纯度等级</w:t>
      </w:r>
    </w:p>
    <w:p>
      <w:pPr>
        <w:numPr>
          <w:numId w:val="22"/>
        </w:numPr>
        <w:spacing w:before="120" w:after="120" w:line="288" w:lineRule="auto"/>
        <w:ind w:left="0"/>
        <w:jc w:val="left"/>
      </w:pPr>
      <w:r>
        <w:rPr>
          <w:rFonts w:eastAsia="等线" w:ascii="Arial" w:cs="Arial" w:hAnsi="Arial"/>
          <w:sz w:val="22"/>
        </w:rPr>
        <w:t>JB/T 5058‑2006 机械产品质量特性重要度分级导则</w:t>
      </w:r>
    </w:p>
    <w:p>
      <w:pPr>
        <w:numPr>
          <w:numId w:val="23"/>
        </w:numPr>
        <w:spacing w:before="120" w:after="120" w:line="288" w:lineRule="auto"/>
        <w:ind w:left="0"/>
        <w:jc w:val="left"/>
      </w:pPr>
      <w:r>
        <w:rPr>
          <w:rFonts w:eastAsia="等线" w:ascii="Arial" w:cs="Arial" w:hAnsi="Arial"/>
          <w:sz w:val="22"/>
        </w:rPr>
        <w:t>Q/ZGB002‑2026 气浮主轴气膜刚度与承载特性检测规范</w:t>
      </w:r>
    </w:p>
    <w:p>
      <w:pPr>
        <w:pStyle w:val="2"/>
        <w:spacing w:before="320" w:after="120" w:line="288" w:lineRule="auto"/>
        <w:ind w:left="0"/>
        <w:jc w:val="left"/>
        <w:outlineLvl w:val="1"/>
      </w:pPr>
      <w:bookmarkStart w:name="heading_80" w:id="80"/>
      <w:r>
        <w:rPr>
          <w:rFonts w:eastAsia="等线" w:ascii="Arial" w:cs="Arial" w:hAnsi="Arial"/>
          <w:b w:val="true"/>
          <w:sz w:val="32"/>
        </w:rPr>
        <w:t>3 术语和定义</w:t>
      </w:r>
      <w:bookmarkEnd w:id="80"/>
    </w:p>
    <w:p>
      <w:pPr>
        <w:pStyle w:val="3"/>
        <w:spacing w:before="300" w:after="120" w:line="288" w:lineRule="auto"/>
        <w:ind w:left="0"/>
        <w:jc w:val="left"/>
        <w:outlineLvl w:val="2"/>
      </w:pPr>
      <w:bookmarkStart w:name="heading_81" w:id="81"/>
      <w:r>
        <w:rPr>
          <w:rFonts w:eastAsia="等线" w:ascii="Arial" w:cs="Arial" w:hAnsi="Arial"/>
          <w:b w:val="true"/>
          <w:sz w:val="30"/>
        </w:rPr>
        <w:t>3.1 PCB钻孔用气浮电主轴</w:t>
      </w:r>
      <w:bookmarkEnd w:id="81"/>
    </w:p>
    <w:p>
      <w:pPr>
        <w:spacing w:before="120" w:after="120" w:line="288" w:lineRule="auto"/>
        <w:ind w:left="0"/>
        <w:jc w:val="left"/>
      </w:pPr>
      <w:r>
        <w:rPr>
          <w:rFonts w:eastAsia="等线" w:ascii="Arial" w:cs="Arial" w:hAnsi="Arial"/>
          <w:sz w:val="22"/>
        </w:rPr>
        <w:t>以洁净压缩空气作为润滑介质，空气静压气膜无接触支撑，集成高速变频电机，用于PCB高速微孔钻孔的超高速主轴总成。</w:t>
      </w:r>
    </w:p>
    <w:p>
      <w:pPr>
        <w:pStyle w:val="3"/>
        <w:spacing w:before="300" w:after="120" w:line="288" w:lineRule="auto"/>
        <w:ind w:left="0"/>
        <w:jc w:val="left"/>
        <w:outlineLvl w:val="2"/>
      </w:pPr>
      <w:bookmarkStart w:name="heading_82" w:id="82"/>
      <w:r>
        <w:rPr>
          <w:rFonts w:eastAsia="等线" w:ascii="Arial" w:cs="Arial" w:hAnsi="Arial"/>
          <w:b w:val="true"/>
          <w:sz w:val="30"/>
        </w:rPr>
        <w:t>3.2 微孔钻孔工况</w:t>
      </w:r>
      <w:bookmarkEnd w:id="82"/>
    </w:p>
    <w:p>
      <w:pPr>
        <w:spacing w:before="120" w:after="120" w:line="288" w:lineRule="auto"/>
        <w:ind w:left="0"/>
        <w:jc w:val="left"/>
      </w:pPr>
      <w:r>
        <w:rPr>
          <w:rFonts w:eastAsia="等线" w:ascii="Arial" w:cs="Arial" w:hAnsi="Arial"/>
          <w:sz w:val="22"/>
        </w:rPr>
        <w:t>钻孔孔径≤0.3mm，高频抬刀、频繁启停的加工工况。</w:t>
      </w:r>
    </w:p>
    <w:p>
      <w:pPr>
        <w:pStyle w:val="3"/>
        <w:spacing w:before="300" w:after="120" w:line="288" w:lineRule="auto"/>
        <w:ind w:left="0"/>
        <w:jc w:val="left"/>
        <w:outlineLvl w:val="2"/>
      </w:pPr>
      <w:bookmarkStart w:name="heading_83" w:id="83"/>
      <w:r>
        <w:rPr>
          <w:rFonts w:eastAsia="等线" w:ascii="Arial" w:cs="Arial" w:hAnsi="Arial"/>
          <w:b w:val="true"/>
          <w:sz w:val="30"/>
        </w:rPr>
        <w:t>3.3 动态回转精度</w:t>
      </w:r>
      <w:bookmarkEnd w:id="83"/>
    </w:p>
    <w:p>
      <w:pPr>
        <w:spacing w:before="120" w:after="120" w:line="288" w:lineRule="auto"/>
        <w:ind w:left="0"/>
        <w:jc w:val="left"/>
      </w:pPr>
      <w:r>
        <w:rPr>
          <w:rFonts w:eastAsia="等线" w:ascii="Arial" w:cs="Arial" w:hAnsi="Arial"/>
          <w:sz w:val="22"/>
        </w:rPr>
        <w:t>额定转速下刀具夹持端综合径向回转误差。</w:t>
      </w:r>
    </w:p>
    <w:p>
      <w:pPr>
        <w:pStyle w:val="3"/>
        <w:spacing w:before="300" w:after="120" w:line="288" w:lineRule="auto"/>
        <w:ind w:left="0"/>
        <w:jc w:val="left"/>
        <w:outlineLvl w:val="2"/>
      </w:pPr>
      <w:bookmarkStart w:name="heading_84" w:id="84"/>
      <w:r>
        <w:rPr>
          <w:rFonts w:eastAsia="等线" w:ascii="Arial" w:cs="Arial" w:hAnsi="Arial"/>
          <w:b w:val="true"/>
          <w:sz w:val="30"/>
        </w:rPr>
        <w:t>3.4 B10寿命</w:t>
      </w:r>
      <w:bookmarkEnd w:id="84"/>
    </w:p>
    <w:p>
      <w:pPr>
        <w:spacing w:before="120" w:after="120" w:line="288" w:lineRule="auto"/>
        <w:ind w:left="0"/>
        <w:jc w:val="left"/>
      </w:pPr>
      <w:r>
        <w:rPr>
          <w:rFonts w:eastAsia="等线" w:ascii="Arial" w:cs="Arial" w:hAnsi="Arial"/>
          <w:sz w:val="22"/>
        </w:rPr>
        <w:t>同批次样品10%发生失效对应的累计工作时间。</w:t>
      </w:r>
    </w:p>
    <w:p>
      <w:pPr>
        <w:pStyle w:val="2"/>
        <w:spacing w:before="320" w:after="120" w:line="288" w:lineRule="auto"/>
        <w:ind w:left="0"/>
        <w:jc w:val="left"/>
        <w:outlineLvl w:val="1"/>
      </w:pPr>
      <w:bookmarkStart w:name="heading_85" w:id="85"/>
      <w:r>
        <w:rPr>
          <w:rFonts w:eastAsia="等线" w:ascii="Arial" w:cs="Arial" w:hAnsi="Arial"/>
          <w:b w:val="true"/>
          <w:sz w:val="32"/>
        </w:rPr>
        <w:t>4 技术要求</w:t>
      </w:r>
      <w:bookmarkEnd w:id="85"/>
    </w:p>
    <w:p>
      <w:pPr>
        <w:pStyle w:val="3"/>
        <w:spacing w:before="300" w:after="120" w:line="288" w:lineRule="auto"/>
        <w:ind w:left="0"/>
        <w:jc w:val="left"/>
        <w:outlineLvl w:val="2"/>
      </w:pPr>
      <w:bookmarkStart w:name="heading_86" w:id="86"/>
      <w:r>
        <w:rPr>
          <w:rFonts w:eastAsia="等线" w:ascii="Arial" w:cs="Arial" w:hAnsi="Arial"/>
          <w:b w:val="true"/>
          <w:sz w:val="30"/>
        </w:rPr>
        <w:t>4.1 产品分类与基本参数</w:t>
      </w:r>
      <w:bookmarkEnd w:id="86"/>
    </w:p>
    <w:tbl>
      <w:tblPr>
        <w:tblW w:w="0" w:type="auto"/>
        <w:tblInd w:w="0" w:type="dxa"/>
        <w:tblBorders>
          <w:top w:val="single" w:color="dee0e3"/>
          <w:left w:val="single" w:color="dee0e3"/>
          <w:bottom w:val="single" w:color="dee0e3"/>
          <w:right w:val="single" w:color="dee0e3"/>
          <w:insideH w:val="single" w:color="dee0e3"/>
          <w:insideV w:val="single" w:color="dee0e3"/>
        </w:tblBorders>
        <w:tblLayout w:type="fixed"/>
      </w:tblPr>
      <w:tblGrid>
        <w:gridCol w:w="2175"/>
        <w:gridCol w:w="975"/>
        <w:gridCol w:w="1635"/>
        <w:gridCol w:w="1740"/>
        <w:gridCol w:w="1740"/>
      </w:tblGrid>
      <w:tr>
        <w:tc>
          <w:tcPr>
            <w:tcW w:w="2175" w:type="dxa"/>
            <w:tcMar>
              <w:top w:type="dxa" w:w="60"/>
              <w:left w:type="dxa" w:w="120"/>
              <w:bottom w:type="dxa" w:w="30"/>
              <w:right w:type="dxa" w:w="120"/>
            </w:tcMar>
          </w:tcPr>
          <w:p>
            <w:pPr>
              <w:spacing w:before="120" w:after="120" w:line="288" w:lineRule="auto"/>
              <w:ind w:left="0"/>
              <w:jc w:val="left"/>
            </w:pPr>
            <w:r>
              <w:rPr>
                <w:rFonts w:eastAsia="等线" w:ascii="Arial" w:cs="Arial" w:hAnsi="Arial"/>
                <w:sz w:val="22"/>
              </w:rPr>
              <w:t>项目</w:t>
            </w:r>
          </w:p>
        </w:tc>
        <w:tc>
          <w:tcPr>
            <w:tcW w:w="975" w:type="dxa"/>
            <w:tcMar>
              <w:top w:type="dxa" w:w="60"/>
              <w:left w:type="dxa" w:w="120"/>
              <w:bottom w:type="dxa" w:w="30"/>
              <w:right w:type="dxa" w:w="120"/>
            </w:tcMar>
          </w:tcPr>
          <w:p>
            <w:pPr>
              <w:spacing w:before="120" w:after="120" w:line="288" w:lineRule="auto"/>
              <w:ind w:left="0"/>
              <w:jc w:val="left"/>
            </w:pPr>
            <w:r>
              <w:rPr>
                <w:rFonts w:eastAsia="等线" w:ascii="Arial" w:cs="Arial" w:hAnsi="Arial"/>
                <w:sz w:val="22"/>
              </w:rPr>
              <w:t>单位</w:t>
            </w:r>
          </w:p>
        </w:tc>
        <w:tc>
          <w:tcPr>
            <w:tcW w:w="1635" w:type="dxa"/>
            <w:tcMar>
              <w:top w:type="dxa" w:w="60"/>
              <w:left w:type="dxa" w:w="120"/>
              <w:bottom w:type="dxa" w:w="30"/>
              <w:right w:type="dxa" w:w="120"/>
            </w:tcMar>
          </w:tcPr>
          <w:p>
            <w:pPr>
              <w:spacing w:before="120" w:after="120" w:line="288" w:lineRule="auto"/>
              <w:ind w:left="0"/>
              <w:jc w:val="left"/>
            </w:pPr>
            <w:r>
              <w:rPr>
                <w:rFonts w:eastAsia="等线" w:ascii="Arial" w:cs="Arial" w:hAnsi="Arial"/>
                <w:sz w:val="22"/>
              </w:rPr>
              <w:t>高速型</w:t>
            </w:r>
          </w:p>
        </w:tc>
        <w:tc>
          <w:tcPr>
            <w:tcW w:w="1740" w:type="dxa"/>
            <w:tcMar>
              <w:top w:type="dxa" w:w="60"/>
              <w:left w:type="dxa" w:w="120"/>
              <w:bottom w:type="dxa" w:w="30"/>
              <w:right w:type="dxa" w:w="120"/>
            </w:tcMar>
          </w:tcPr>
          <w:p>
            <w:pPr>
              <w:spacing w:before="120" w:after="120" w:line="288" w:lineRule="auto"/>
              <w:ind w:left="0"/>
              <w:jc w:val="left"/>
            </w:pPr>
            <w:r>
              <w:rPr>
                <w:rFonts w:eastAsia="等线" w:ascii="Arial" w:cs="Arial" w:hAnsi="Arial"/>
                <w:sz w:val="22"/>
              </w:rPr>
              <w:t>超高速型</w:t>
            </w:r>
          </w:p>
        </w:tc>
        <w:tc>
          <w:tcPr>
            <w:tcW w:w="1740" w:type="dxa"/>
            <w:tcMar>
              <w:top w:type="dxa" w:w="60"/>
              <w:left w:type="dxa" w:w="120"/>
              <w:bottom w:type="dxa" w:w="30"/>
              <w:right w:type="dxa" w:w="120"/>
            </w:tcMar>
          </w:tcPr>
          <w:p>
            <w:pPr>
              <w:spacing w:before="120" w:after="120" w:line="288" w:lineRule="auto"/>
              <w:ind w:left="0"/>
              <w:jc w:val="left"/>
            </w:pPr>
            <w:r>
              <w:rPr>
                <w:rFonts w:eastAsia="等线" w:ascii="Arial" w:cs="Arial" w:hAnsi="Arial"/>
                <w:sz w:val="22"/>
              </w:rPr>
              <w:t>超高精密型</w:t>
            </w:r>
          </w:p>
        </w:tc>
      </w:tr>
      <w:tr>
        <w:tc>
          <w:tcPr>
            <w:tcW w:w="2175" w:type="dxa"/>
            <w:tcMar>
              <w:top w:type="dxa" w:w="60"/>
              <w:left w:type="dxa" w:w="120"/>
              <w:bottom w:type="dxa" w:w="30"/>
              <w:right w:type="dxa" w:w="120"/>
            </w:tcMar>
          </w:tcPr>
          <w:p>
            <w:pPr>
              <w:spacing w:before="120" w:after="120" w:line="288" w:lineRule="auto"/>
              <w:ind w:left="0"/>
              <w:jc w:val="left"/>
            </w:pPr>
            <w:r>
              <w:rPr>
                <w:rFonts w:eastAsia="等线" w:ascii="Arial" w:cs="Arial" w:hAnsi="Arial"/>
                <w:sz w:val="22"/>
              </w:rPr>
              <w:t>额定转速</w:t>
            </w:r>
          </w:p>
        </w:tc>
        <w:tc>
          <w:tcPr>
            <w:tcW w:w="975" w:type="dxa"/>
            <w:tcMar>
              <w:top w:type="dxa" w:w="60"/>
              <w:left w:type="dxa" w:w="120"/>
              <w:bottom w:type="dxa" w:w="30"/>
              <w:right w:type="dxa" w:w="120"/>
            </w:tcMar>
          </w:tcPr>
          <w:p>
            <w:pPr>
              <w:spacing w:before="120" w:after="120" w:line="288" w:lineRule="auto"/>
              <w:ind w:left="0"/>
              <w:jc w:val="left"/>
            </w:pPr>
            <w:r>
              <w:rPr>
                <w:rFonts w:eastAsia="等线" w:ascii="Arial" w:cs="Arial" w:hAnsi="Arial"/>
                <w:sz w:val="22"/>
              </w:rPr>
              <w:t>r/min</w:t>
            </w:r>
          </w:p>
        </w:tc>
        <w:tc>
          <w:tcPr>
            <w:tcW w:w="1635" w:type="dxa"/>
            <w:tcMar>
              <w:top w:type="dxa" w:w="60"/>
              <w:left w:type="dxa" w:w="120"/>
              <w:bottom w:type="dxa" w:w="30"/>
              <w:right w:type="dxa" w:w="120"/>
            </w:tcMar>
          </w:tcPr>
          <w:p>
            <w:pPr>
              <w:spacing w:before="120" w:after="120" w:line="288" w:lineRule="auto"/>
              <w:ind w:left="0"/>
              <w:jc w:val="left"/>
            </w:pPr>
            <w:r>
              <w:rPr>
                <w:rFonts w:eastAsia="等线" w:ascii="Arial" w:cs="Arial" w:hAnsi="Arial"/>
                <w:sz w:val="22"/>
              </w:rPr>
              <w:t>60000‑80000</w:t>
            </w:r>
          </w:p>
        </w:tc>
        <w:tc>
          <w:tcPr>
            <w:tcW w:w="1740" w:type="dxa"/>
            <w:tcMar>
              <w:top w:type="dxa" w:w="60"/>
              <w:left w:type="dxa" w:w="120"/>
              <w:bottom w:type="dxa" w:w="30"/>
              <w:right w:type="dxa" w:w="120"/>
            </w:tcMar>
          </w:tcPr>
          <w:p>
            <w:pPr>
              <w:spacing w:before="120" w:after="120" w:line="288" w:lineRule="auto"/>
              <w:ind w:left="0"/>
              <w:jc w:val="left"/>
            </w:pPr>
            <w:r>
              <w:rPr>
                <w:rFonts w:eastAsia="等线" w:ascii="Arial" w:cs="Arial" w:hAnsi="Arial"/>
                <w:sz w:val="22"/>
              </w:rPr>
              <w:t>80000‑120000</w:t>
            </w:r>
          </w:p>
        </w:tc>
        <w:tc>
          <w:tcPr>
            <w:tcW w:w="1740" w:type="dxa"/>
            <w:tcMar>
              <w:top w:type="dxa" w:w="60"/>
              <w:left w:type="dxa" w:w="120"/>
              <w:bottom w:type="dxa" w:w="30"/>
              <w:right w:type="dxa" w:w="120"/>
            </w:tcMar>
          </w:tcPr>
          <w:p>
            <w:pPr>
              <w:spacing w:before="120" w:after="120" w:line="288" w:lineRule="auto"/>
              <w:ind w:left="0"/>
              <w:jc w:val="left"/>
            </w:pPr>
            <w:r>
              <w:rPr>
                <w:rFonts w:eastAsia="等线" w:ascii="Arial" w:cs="Arial" w:hAnsi="Arial"/>
                <w:sz w:val="22"/>
              </w:rPr>
              <w:t>＞120000</w:t>
            </w:r>
          </w:p>
        </w:tc>
      </w:tr>
      <w:tr>
        <w:tc>
          <w:tcPr>
            <w:tcW w:w="2175" w:type="dxa"/>
            <w:tcMar>
              <w:top w:type="dxa" w:w="60"/>
              <w:left w:type="dxa" w:w="120"/>
              <w:bottom w:type="dxa" w:w="30"/>
              <w:right w:type="dxa" w:w="120"/>
            </w:tcMar>
          </w:tcPr>
          <w:p>
            <w:pPr>
              <w:spacing w:before="120" w:after="120" w:line="288" w:lineRule="auto"/>
              <w:ind w:left="0"/>
              <w:jc w:val="left"/>
            </w:pPr>
            <w:r>
              <w:rPr>
                <w:rFonts w:eastAsia="等线" w:ascii="Arial" w:cs="Arial" w:hAnsi="Arial"/>
                <w:sz w:val="22"/>
              </w:rPr>
              <w:t>额定供气压力</w:t>
            </w:r>
          </w:p>
        </w:tc>
        <w:tc>
          <w:tcPr>
            <w:tcW w:w="975" w:type="dxa"/>
            <w:tcMar>
              <w:top w:type="dxa" w:w="60"/>
              <w:left w:type="dxa" w:w="120"/>
              <w:bottom w:type="dxa" w:w="30"/>
              <w:right w:type="dxa" w:w="120"/>
            </w:tcMar>
          </w:tcPr>
          <w:p>
            <w:pPr>
              <w:spacing w:before="120" w:after="120" w:line="288" w:lineRule="auto"/>
              <w:ind w:left="0"/>
              <w:jc w:val="left"/>
            </w:pPr>
            <w:r>
              <w:rPr>
                <w:rFonts w:eastAsia="等线" w:ascii="Arial" w:cs="Arial" w:hAnsi="Arial"/>
                <w:sz w:val="22"/>
              </w:rPr>
              <w:t>MPa</w:t>
            </w:r>
          </w:p>
        </w:tc>
        <w:tc>
          <w:tcPr>
            <w:tcW w:w="1635" w:type="dxa"/>
            <w:tcMar>
              <w:top w:type="dxa" w:w="60"/>
              <w:left w:type="dxa" w:w="120"/>
              <w:bottom w:type="dxa" w:w="30"/>
              <w:right w:type="dxa" w:w="120"/>
            </w:tcMar>
          </w:tcPr>
          <w:p>
            <w:pPr>
              <w:spacing w:before="120" w:after="120" w:line="288" w:lineRule="auto"/>
              <w:ind w:left="0"/>
              <w:jc w:val="left"/>
            </w:pPr>
            <w:r>
              <w:rPr>
                <w:rFonts w:eastAsia="等线" w:ascii="Arial" w:cs="Arial" w:hAnsi="Arial"/>
                <w:sz w:val="22"/>
              </w:rPr>
              <w:t>0.35‑0.55</w:t>
            </w:r>
          </w:p>
        </w:tc>
        <w:tc>
          <w:tcPr>
            <w:tcW w:w="1740" w:type="dxa"/>
            <w:tcMar>
              <w:top w:type="dxa" w:w="60"/>
              <w:left w:type="dxa" w:w="120"/>
              <w:bottom w:type="dxa" w:w="30"/>
              <w:right w:type="dxa" w:w="120"/>
            </w:tcMar>
          </w:tcPr>
          <w:p>
            <w:pPr>
              <w:spacing w:before="120" w:after="120" w:line="288" w:lineRule="auto"/>
              <w:ind w:left="0"/>
              <w:jc w:val="left"/>
            </w:pPr>
            <w:r>
              <w:rPr>
                <w:rFonts w:eastAsia="等线" w:ascii="Arial" w:cs="Arial" w:hAnsi="Arial"/>
                <w:sz w:val="22"/>
              </w:rPr>
              <w:t>0.35‑0.55</w:t>
            </w:r>
          </w:p>
        </w:tc>
        <w:tc>
          <w:tcPr>
            <w:tcW w:w="1740" w:type="dxa"/>
            <w:tcMar>
              <w:top w:type="dxa" w:w="60"/>
              <w:left w:type="dxa" w:w="120"/>
              <w:bottom w:type="dxa" w:w="30"/>
              <w:right w:type="dxa" w:w="120"/>
            </w:tcMar>
          </w:tcPr>
          <w:p>
            <w:pPr>
              <w:spacing w:before="120" w:after="120" w:line="288" w:lineRule="auto"/>
              <w:ind w:left="0"/>
              <w:jc w:val="left"/>
            </w:pPr>
            <w:r>
              <w:rPr>
                <w:rFonts w:eastAsia="等线" w:ascii="Arial" w:cs="Arial" w:hAnsi="Arial"/>
                <w:sz w:val="22"/>
              </w:rPr>
              <w:t>0.35‑0.55</w:t>
            </w:r>
          </w:p>
        </w:tc>
      </w:tr>
      <w:tr>
        <w:tc>
          <w:tcPr>
            <w:tcW w:w="2175" w:type="dxa"/>
            <w:tcMar>
              <w:top w:type="dxa" w:w="60"/>
              <w:left w:type="dxa" w:w="120"/>
              <w:bottom w:type="dxa" w:w="30"/>
              <w:right w:type="dxa" w:w="120"/>
            </w:tcMar>
          </w:tcPr>
          <w:p>
            <w:pPr>
              <w:spacing w:before="120" w:after="120" w:line="288" w:lineRule="auto"/>
              <w:ind w:left="0"/>
              <w:jc w:val="left"/>
            </w:pPr>
            <w:r>
              <w:rPr>
                <w:rFonts w:eastAsia="等线" w:ascii="Arial" w:cs="Arial" w:hAnsi="Arial"/>
                <w:sz w:val="22"/>
              </w:rPr>
              <w:t>静态径向回转精度</w:t>
            </w:r>
          </w:p>
        </w:tc>
        <w:tc>
          <w:tcPr>
            <w:tcW w:w="975" w:type="dxa"/>
            <w:tcMar>
              <w:top w:type="dxa" w:w="60"/>
              <w:left w:type="dxa" w:w="120"/>
              <w:bottom w:type="dxa" w:w="30"/>
              <w:right w:type="dxa" w:w="120"/>
            </w:tcMar>
          </w:tcPr>
          <w:p>
            <w:pPr>
              <w:spacing w:before="120" w:after="120" w:line="288" w:lineRule="auto"/>
              <w:ind w:left="0"/>
              <w:jc w:val="left"/>
            </w:pPr>
            <w:r>
              <w:rPr>
                <w:rFonts w:eastAsia="等线" w:ascii="Arial" w:cs="Arial" w:hAnsi="Arial"/>
                <w:sz w:val="22"/>
              </w:rPr>
              <w:t>μm</w:t>
            </w:r>
          </w:p>
        </w:tc>
        <w:tc>
          <w:tcPr>
            <w:tcW w:w="1635" w:type="dxa"/>
            <w:tcMar>
              <w:top w:type="dxa" w:w="60"/>
              <w:left w:type="dxa" w:w="120"/>
              <w:bottom w:type="dxa" w:w="30"/>
              <w:right w:type="dxa" w:w="120"/>
            </w:tcMar>
          </w:tcPr>
          <w:p>
            <w:pPr>
              <w:spacing w:before="120" w:after="120" w:line="288" w:lineRule="auto"/>
              <w:ind w:left="0"/>
              <w:jc w:val="left"/>
            </w:pPr>
            <w:r>
              <w:rPr>
                <w:rFonts w:eastAsia="等线" w:ascii="Arial" w:cs="Arial" w:hAnsi="Arial"/>
                <w:sz w:val="22"/>
              </w:rPr>
              <w:t>≤1.0</w:t>
            </w:r>
          </w:p>
        </w:tc>
        <w:tc>
          <w:tcPr>
            <w:tcW w:w="1740" w:type="dxa"/>
            <w:tcMar>
              <w:top w:type="dxa" w:w="60"/>
              <w:left w:type="dxa" w:w="120"/>
              <w:bottom w:type="dxa" w:w="30"/>
              <w:right w:type="dxa" w:w="120"/>
            </w:tcMar>
          </w:tcPr>
          <w:p>
            <w:pPr>
              <w:spacing w:before="120" w:after="120" w:line="288" w:lineRule="auto"/>
              <w:ind w:left="0"/>
              <w:jc w:val="left"/>
            </w:pPr>
            <w:r>
              <w:rPr>
                <w:rFonts w:eastAsia="等线" w:ascii="Arial" w:cs="Arial" w:hAnsi="Arial"/>
                <w:sz w:val="22"/>
              </w:rPr>
              <w:t>≤1.0</w:t>
            </w:r>
          </w:p>
        </w:tc>
        <w:tc>
          <w:tcPr>
            <w:tcW w:w="1740" w:type="dxa"/>
            <w:tcMar>
              <w:top w:type="dxa" w:w="60"/>
              <w:left w:type="dxa" w:w="120"/>
              <w:bottom w:type="dxa" w:w="30"/>
              <w:right w:type="dxa" w:w="120"/>
            </w:tcMar>
          </w:tcPr>
          <w:p>
            <w:pPr>
              <w:spacing w:before="120" w:after="120" w:line="288" w:lineRule="auto"/>
              <w:ind w:left="0"/>
              <w:jc w:val="left"/>
            </w:pPr>
            <w:r>
              <w:rPr>
                <w:rFonts w:eastAsia="等线" w:ascii="Arial" w:cs="Arial" w:hAnsi="Arial"/>
                <w:sz w:val="22"/>
              </w:rPr>
              <w:t>≤0.8</w:t>
            </w:r>
          </w:p>
        </w:tc>
      </w:tr>
      <w:tr>
        <w:tc>
          <w:tcPr>
            <w:tcW w:w="2175" w:type="dxa"/>
            <w:tcMar>
              <w:top w:type="dxa" w:w="60"/>
              <w:left w:type="dxa" w:w="120"/>
              <w:bottom w:type="dxa" w:w="30"/>
              <w:right w:type="dxa" w:w="120"/>
            </w:tcMar>
          </w:tcPr>
          <w:p>
            <w:pPr>
              <w:spacing w:before="120" w:after="120" w:line="288" w:lineRule="auto"/>
              <w:ind w:left="0"/>
              <w:jc w:val="left"/>
            </w:pPr>
            <w:r>
              <w:rPr>
                <w:rFonts w:eastAsia="等线" w:ascii="Arial" w:cs="Arial" w:hAnsi="Arial"/>
                <w:sz w:val="22"/>
              </w:rPr>
              <w:t>额定转速动态回转精度</w:t>
            </w:r>
          </w:p>
        </w:tc>
        <w:tc>
          <w:tcPr>
            <w:tcW w:w="975" w:type="dxa"/>
            <w:tcMar>
              <w:top w:type="dxa" w:w="60"/>
              <w:left w:type="dxa" w:w="120"/>
              <w:bottom w:type="dxa" w:w="30"/>
              <w:right w:type="dxa" w:w="120"/>
            </w:tcMar>
          </w:tcPr>
          <w:p>
            <w:pPr>
              <w:spacing w:before="120" w:after="120" w:line="288" w:lineRule="auto"/>
              <w:ind w:left="0"/>
              <w:jc w:val="left"/>
            </w:pPr>
            <w:r>
              <w:rPr>
                <w:rFonts w:eastAsia="等线" w:ascii="Arial" w:cs="Arial" w:hAnsi="Arial"/>
                <w:sz w:val="22"/>
              </w:rPr>
              <w:t>μm</w:t>
            </w:r>
          </w:p>
        </w:tc>
        <w:tc>
          <w:tcPr>
            <w:tcW w:w="1635" w:type="dxa"/>
            <w:tcMar>
              <w:top w:type="dxa" w:w="60"/>
              <w:left w:type="dxa" w:w="120"/>
              <w:bottom w:type="dxa" w:w="30"/>
              <w:right w:type="dxa" w:w="120"/>
            </w:tcMar>
          </w:tcPr>
          <w:p>
            <w:pPr>
              <w:spacing w:before="120" w:after="120" w:line="288" w:lineRule="auto"/>
              <w:ind w:left="0"/>
              <w:jc w:val="left"/>
            </w:pPr>
            <w:r>
              <w:rPr>
                <w:rFonts w:eastAsia="等线" w:ascii="Arial" w:cs="Arial" w:hAnsi="Arial"/>
                <w:sz w:val="22"/>
              </w:rPr>
              <w:t>≤1.5</w:t>
            </w:r>
          </w:p>
        </w:tc>
        <w:tc>
          <w:tcPr>
            <w:tcW w:w="1740" w:type="dxa"/>
            <w:tcMar>
              <w:top w:type="dxa" w:w="60"/>
              <w:left w:type="dxa" w:w="120"/>
              <w:bottom w:type="dxa" w:w="30"/>
              <w:right w:type="dxa" w:w="120"/>
            </w:tcMar>
          </w:tcPr>
          <w:p>
            <w:pPr>
              <w:spacing w:before="120" w:after="120" w:line="288" w:lineRule="auto"/>
              <w:ind w:left="0"/>
              <w:jc w:val="left"/>
            </w:pPr>
            <w:r>
              <w:rPr>
                <w:rFonts w:eastAsia="等线" w:ascii="Arial" w:cs="Arial" w:hAnsi="Arial"/>
                <w:sz w:val="22"/>
              </w:rPr>
              <w:t>≤1.2</w:t>
            </w:r>
          </w:p>
        </w:tc>
        <w:tc>
          <w:tcPr>
            <w:tcW w:w="1740" w:type="dxa"/>
            <w:tcMar>
              <w:top w:type="dxa" w:w="60"/>
              <w:left w:type="dxa" w:w="120"/>
              <w:bottom w:type="dxa" w:w="30"/>
              <w:right w:type="dxa" w:w="120"/>
            </w:tcMar>
          </w:tcPr>
          <w:p>
            <w:pPr>
              <w:spacing w:before="120" w:after="120" w:line="288" w:lineRule="auto"/>
              <w:ind w:left="0"/>
              <w:jc w:val="left"/>
            </w:pPr>
            <w:r>
              <w:rPr>
                <w:rFonts w:eastAsia="等线" w:ascii="Arial" w:cs="Arial" w:hAnsi="Arial"/>
                <w:sz w:val="22"/>
              </w:rPr>
              <w:t>≤1.0</w:t>
            </w:r>
          </w:p>
        </w:tc>
      </w:tr>
      <w:tr>
        <w:tc>
          <w:tcPr>
            <w:tcW w:w="2175" w:type="dxa"/>
            <w:tcMar>
              <w:top w:type="dxa" w:w="60"/>
              <w:left w:type="dxa" w:w="120"/>
              <w:bottom w:type="dxa" w:w="30"/>
              <w:right w:type="dxa" w:w="120"/>
            </w:tcMar>
          </w:tcPr>
          <w:p>
            <w:pPr>
              <w:spacing w:before="120" w:after="120" w:line="288" w:lineRule="auto"/>
              <w:ind w:left="0"/>
              <w:jc w:val="left"/>
            </w:pPr>
            <w:r>
              <w:rPr>
                <w:rFonts w:eastAsia="等线" w:ascii="Arial" w:cs="Arial" w:hAnsi="Arial"/>
                <w:sz w:val="22"/>
              </w:rPr>
              <w:t>壳体稳态温升</w:t>
            </w:r>
          </w:p>
        </w:tc>
        <w:tc>
          <w:tcPr>
            <w:tcW w:w="975" w:type="dxa"/>
            <w:tcMar>
              <w:top w:type="dxa" w:w="60"/>
              <w:left w:type="dxa" w:w="120"/>
              <w:bottom w:type="dxa" w:w="30"/>
              <w:right w:type="dxa" w:w="120"/>
            </w:tcMar>
          </w:tcPr>
          <w:p>
            <w:pPr>
              <w:spacing w:before="120" w:after="120" w:line="288" w:lineRule="auto"/>
              <w:ind w:left="0"/>
              <w:jc w:val="left"/>
            </w:pPr>
            <w:r>
              <w:rPr>
                <w:rFonts w:eastAsia="等线" w:ascii="Arial" w:cs="Arial" w:hAnsi="Arial"/>
                <w:sz w:val="22"/>
              </w:rPr>
              <w:t>K</w:t>
            </w:r>
          </w:p>
        </w:tc>
        <w:tc>
          <w:tcPr>
            <w:tcW w:w="1635" w:type="dxa"/>
            <w:tcMar>
              <w:top w:type="dxa" w:w="60"/>
              <w:left w:type="dxa" w:w="120"/>
              <w:bottom w:type="dxa" w:w="30"/>
              <w:right w:type="dxa" w:w="120"/>
            </w:tcMar>
          </w:tcPr>
          <w:p>
            <w:pPr>
              <w:spacing w:before="120" w:after="120" w:line="288" w:lineRule="auto"/>
              <w:ind w:left="0"/>
              <w:jc w:val="left"/>
            </w:pPr>
            <w:r>
              <w:rPr>
                <w:rFonts w:eastAsia="等线" w:ascii="Arial" w:cs="Arial" w:hAnsi="Arial"/>
                <w:sz w:val="22"/>
              </w:rPr>
              <w:t>≤45</w:t>
            </w:r>
          </w:p>
        </w:tc>
        <w:tc>
          <w:tcPr>
            <w:tcW w:w="1740" w:type="dxa"/>
            <w:tcMar>
              <w:top w:type="dxa" w:w="60"/>
              <w:left w:type="dxa" w:w="120"/>
              <w:bottom w:type="dxa" w:w="30"/>
              <w:right w:type="dxa" w:w="120"/>
            </w:tcMar>
          </w:tcPr>
          <w:p>
            <w:pPr>
              <w:spacing w:before="120" w:after="120" w:line="288" w:lineRule="auto"/>
              <w:ind w:left="0"/>
              <w:jc w:val="left"/>
            </w:pPr>
            <w:r>
              <w:rPr>
                <w:rFonts w:eastAsia="等线" w:ascii="Arial" w:cs="Arial" w:hAnsi="Arial"/>
                <w:sz w:val="22"/>
              </w:rPr>
              <w:t>≤45</w:t>
            </w:r>
          </w:p>
        </w:tc>
        <w:tc>
          <w:tcPr>
            <w:tcW w:w="1740" w:type="dxa"/>
            <w:tcMar>
              <w:top w:type="dxa" w:w="60"/>
              <w:left w:type="dxa" w:w="120"/>
              <w:bottom w:type="dxa" w:w="30"/>
              <w:right w:type="dxa" w:w="120"/>
            </w:tcMar>
          </w:tcPr>
          <w:p>
            <w:pPr>
              <w:spacing w:before="120" w:after="120" w:line="288" w:lineRule="auto"/>
              <w:ind w:left="0"/>
              <w:jc w:val="left"/>
            </w:pPr>
            <w:r>
              <w:rPr>
                <w:rFonts w:eastAsia="等线" w:ascii="Arial" w:cs="Arial" w:hAnsi="Arial"/>
                <w:sz w:val="22"/>
              </w:rPr>
              <w:t>≤40</w:t>
            </w:r>
          </w:p>
        </w:tc>
      </w:tr>
      <w:tr>
        <w:tc>
          <w:tcPr>
            <w:tcW w:w="2175" w:type="dxa"/>
            <w:tcMar>
              <w:top w:type="dxa" w:w="60"/>
              <w:left w:type="dxa" w:w="120"/>
              <w:bottom w:type="dxa" w:w="30"/>
              <w:right w:type="dxa" w:w="120"/>
            </w:tcMar>
          </w:tcPr>
          <w:p>
            <w:pPr>
              <w:spacing w:before="120" w:after="120" w:line="288" w:lineRule="auto"/>
              <w:ind w:left="0"/>
              <w:jc w:val="left"/>
            </w:pPr>
            <w:r>
              <w:rPr>
                <w:rFonts w:eastAsia="等线" w:ascii="Arial" w:cs="Arial" w:hAnsi="Arial"/>
                <w:sz w:val="22"/>
              </w:rPr>
              <w:t>噪声（1m A计权）</w:t>
            </w:r>
          </w:p>
        </w:tc>
        <w:tc>
          <w:tcPr>
            <w:tcW w:w="975" w:type="dxa"/>
            <w:tcMar>
              <w:top w:type="dxa" w:w="60"/>
              <w:left w:type="dxa" w:w="120"/>
              <w:bottom w:type="dxa" w:w="30"/>
              <w:right w:type="dxa" w:w="120"/>
            </w:tcMar>
          </w:tcPr>
          <w:p>
            <w:pPr>
              <w:spacing w:before="120" w:after="120" w:line="288" w:lineRule="auto"/>
              <w:ind w:left="0"/>
              <w:jc w:val="left"/>
            </w:pPr>
            <w:r>
              <w:rPr>
                <w:rFonts w:eastAsia="等线" w:ascii="Arial" w:cs="Arial" w:hAnsi="Arial"/>
                <w:sz w:val="22"/>
              </w:rPr>
              <w:t>dB</w:t>
            </w:r>
          </w:p>
        </w:tc>
        <w:tc>
          <w:tcPr>
            <w:tcW w:w="1635" w:type="dxa"/>
            <w:tcMar>
              <w:top w:type="dxa" w:w="60"/>
              <w:left w:type="dxa" w:w="120"/>
              <w:bottom w:type="dxa" w:w="30"/>
              <w:right w:type="dxa" w:w="120"/>
            </w:tcMar>
          </w:tcPr>
          <w:p>
            <w:pPr>
              <w:spacing w:before="120" w:after="120" w:line="288" w:lineRule="auto"/>
              <w:ind w:left="0"/>
              <w:jc w:val="left"/>
            </w:pPr>
            <w:r>
              <w:rPr>
                <w:rFonts w:eastAsia="等线" w:ascii="Arial" w:cs="Arial" w:hAnsi="Arial"/>
                <w:sz w:val="22"/>
              </w:rPr>
              <w:t>≤65</w:t>
            </w:r>
          </w:p>
        </w:tc>
        <w:tc>
          <w:tcPr>
            <w:tcW w:w="1740" w:type="dxa"/>
            <w:tcMar>
              <w:top w:type="dxa" w:w="60"/>
              <w:left w:type="dxa" w:w="120"/>
              <w:bottom w:type="dxa" w:w="30"/>
              <w:right w:type="dxa" w:w="120"/>
            </w:tcMar>
          </w:tcPr>
          <w:p>
            <w:pPr>
              <w:spacing w:before="120" w:after="120" w:line="288" w:lineRule="auto"/>
              <w:ind w:left="0"/>
              <w:jc w:val="left"/>
            </w:pPr>
            <w:r>
              <w:rPr>
                <w:rFonts w:eastAsia="等线" w:ascii="Arial" w:cs="Arial" w:hAnsi="Arial"/>
                <w:sz w:val="22"/>
              </w:rPr>
              <w:t>≤65</w:t>
            </w:r>
          </w:p>
        </w:tc>
        <w:tc>
          <w:tcPr>
            <w:tcW w:w="1740" w:type="dxa"/>
            <w:tcMar>
              <w:top w:type="dxa" w:w="60"/>
              <w:left w:type="dxa" w:w="120"/>
              <w:bottom w:type="dxa" w:w="30"/>
              <w:right w:type="dxa" w:w="120"/>
            </w:tcMar>
          </w:tcPr>
          <w:p>
            <w:pPr>
              <w:spacing w:before="120" w:after="120" w:line="288" w:lineRule="auto"/>
              <w:ind w:left="0"/>
              <w:jc w:val="left"/>
            </w:pPr>
            <w:r>
              <w:rPr>
                <w:rFonts w:eastAsia="等线" w:ascii="Arial" w:cs="Arial" w:hAnsi="Arial"/>
                <w:sz w:val="22"/>
              </w:rPr>
              <w:t>≤63</w:t>
            </w:r>
          </w:p>
        </w:tc>
      </w:tr>
      <w:tr>
        <w:tc>
          <w:tcPr>
            <w:tcW w:w="2175" w:type="dxa"/>
            <w:tcMar>
              <w:top w:type="dxa" w:w="60"/>
              <w:left w:type="dxa" w:w="120"/>
              <w:bottom w:type="dxa" w:w="30"/>
              <w:right w:type="dxa" w:w="120"/>
            </w:tcMar>
          </w:tcPr>
          <w:p>
            <w:pPr>
              <w:spacing w:before="120" w:after="120" w:line="288" w:lineRule="auto"/>
              <w:ind w:left="0"/>
              <w:jc w:val="left"/>
            </w:pPr>
            <w:r>
              <w:rPr>
                <w:rFonts w:eastAsia="等线" w:ascii="Arial" w:cs="Arial" w:hAnsi="Arial"/>
                <w:sz w:val="22"/>
              </w:rPr>
              <w:t>MTBF</w:t>
            </w:r>
          </w:p>
        </w:tc>
        <w:tc>
          <w:tcPr>
            <w:tcW w:w="975" w:type="dxa"/>
            <w:tcMar>
              <w:top w:type="dxa" w:w="60"/>
              <w:left w:type="dxa" w:w="120"/>
              <w:bottom w:type="dxa" w:w="30"/>
              <w:right w:type="dxa" w:w="120"/>
            </w:tcMar>
          </w:tcPr>
          <w:p>
            <w:pPr>
              <w:spacing w:before="120" w:after="120" w:line="288" w:lineRule="auto"/>
              <w:ind w:left="0"/>
              <w:jc w:val="left"/>
            </w:pPr>
            <w:r>
              <w:rPr>
                <w:rFonts w:eastAsia="等线" w:ascii="Arial" w:cs="Arial" w:hAnsi="Arial"/>
                <w:sz w:val="22"/>
              </w:rPr>
              <w:t>h</w:t>
            </w:r>
          </w:p>
        </w:tc>
        <w:tc>
          <w:tcPr>
            <w:tcW w:w="1635" w:type="dxa"/>
            <w:tcMar>
              <w:top w:type="dxa" w:w="60"/>
              <w:left w:type="dxa" w:w="120"/>
              <w:bottom w:type="dxa" w:w="30"/>
              <w:right w:type="dxa" w:w="120"/>
            </w:tcMar>
          </w:tcPr>
          <w:p>
            <w:pPr>
              <w:spacing w:before="120" w:after="120" w:line="288" w:lineRule="auto"/>
              <w:ind w:left="0"/>
              <w:jc w:val="left"/>
            </w:pPr>
            <w:r>
              <w:rPr>
                <w:rFonts w:eastAsia="等线" w:ascii="Arial" w:cs="Arial" w:hAnsi="Arial"/>
                <w:sz w:val="22"/>
              </w:rPr>
              <w:t>≥8000</w:t>
            </w:r>
          </w:p>
        </w:tc>
        <w:tc>
          <w:tcPr>
            <w:tcW w:w="1740" w:type="dxa"/>
            <w:tcMar>
              <w:top w:type="dxa" w:w="60"/>
              <w:left w:type="dxa" w:w="120"/>
              <w:bottom w:type="dxa" w:w="30"/>
              <w:right w:type="dxa" w:w="120"/>
            </w:tcMar>
          </w:tcPr>
          <w:p>
            <w:pPr>
              <w:spacing w:before="120" w:after="120" w:line="288" w:lineRule="auto"/>
              <w:ind w:left="0"/>
              <w:jc w:val="left"/>
            </w:pPr>
            <w:r>
              <w:rPr>
                <w:rFonts w:eastAsia="等线" w:ascii="Arial" w:cs="Arial" w:hAnsi="Arial"/>
                <w:sz w:val="22"/>
              </w:rPr>
              <w:t>≥8000</w:t>
            </w:r>
          </w:p>
        </w:tc>
        <w:tc>
          <w:tcPr>
            <w:tcW w:w="1740" w:type="dxa"/>
            <w:tcMar>
              <w:top w:type="dxa" w:w="60"/>
              <w:left w:type="dxa" w:w="120"/>
              <w:bottom w:type="dxa" w:w="30"/>
              <w:right w:type="dxa" w:w="120"/>
            </w:tcMar>
          </w:tcPr>
          <w:p>
            <w:pPr>
              <w:spacing w:before="120" w:after="120" w:line="288" w:lineRule="auto"/>
              <w:ind w:left="0"/>
              <w:jc w:val="left"/>
            </w:pPr>
            <w:r>
              <w:rPr>
                <w:rFonts w:eastAsia="等线" w:ascii="Arial" w:cs="Arial" w:hAnsi="Arial"/>
                <w:sz w:val="22"/>
              </w:rPr>
              <w:t>≥7000</w:t>
            </w:r>
          </w:p>
        </w:tc>
      </w:tr>
      <w:tr>
        <w:tc>
          <w:tcPr>
            <w:tcW w:w="2175" w:type="dxa"/>
            <w:tcMar>
              <w:top w:type="dxa" w:w="60"/>
              <w:left w:type="dxa" w:w="120"/>
              <w:bottom w:type="dxa" w:w="30"/>
              <w:right w:type="dxa" w:w="120"/>
            </w:tcMar>
          </w:tcPr>
          <w:p>
            <w:pPr>
              <w:spacing w:before="120" w:after="120" w:line="288" w:lineRule="auto"/>
              <w:ind w:left="0"/>
              <w:jc w:val="left"/>
            </w:pPr>
            <w:r>
              <w:rPr>
                <w:rFonts w:eastAsia="等线" w:ascii="Arial" w:cs="Arial" w:hAnsi="Arial"/>
                <w:sz w:val="22"/>
              </w:rPr>
              <w:t>B10寿命</w:t>
            </w:r>
          </w:p>
        </w:tc>
        <w:tc>
          <w:tcPr>
            <w:tcW w:w="975" w:type="dxa"/>
            <w:tcMar>
              <w:top w:type="dxa" w:w="60"/>
              <w:left w:type="dxa" w:w="120"/>
              <w:bottom w:type="dxa" w:w="30"/>
              <w:right w:type="dxa" w:w="120"/>
            </w:tcMar>
          </w:tcPr>
          <w:p>
            <w:pPr>
              <w:spacing w:before="120" w:after="120" w:line="288" w:lineRule="auto"/>
              <w:ind w:left="0"/>
              <w:jc w:val="left"/>
            </w:pPr>
            <w:r>
              <w:rPr>
                <w:rFonts w:eastAsia="等线" w:ascii="Arial" w:cs="Arial" w:hAnsi="Arial"/>
                <w:sz w:val="22"/>
              </w:rPr>
              <w:t>h</w:t>
            </w:r>
          </w:p>
        </w:tc>
        <w:tc>
          <w:tcPr>
            <w:tcW w:w="1635" w:type="dxa"/>
            <w:tcMar>
              <w:top w:type="dxa" w:w="60"/>
              <w:left w:type="dxa" w:w="120"/>
              <w:bottom w:type="dxa" w:w="30"/>
              <w:right w:type="dxa" w:w="120"/>
            </w:tcMar>
          </w:tcPr>
          <w:p>
            <w:pPr>
              <w:spacing w:before="120" w:after="120" w:line="288" w:lineRule="auto"/>
              <w:ind w:left="0"/>
              <w:jc w:val="left"/>
            </w:pPr>
            <w:r>
              <w:rPr>
                <w:rFonts w:eastAsia="等线" w:ascii="Arial" w:cs="Arial" w:hAnsi="Arial"/>
                <w:sz w:val="22"/>
              </w:rPr>
              <w:t>≥5000</w:t>
            </w:r>
          </w:p>
        </w:tc>
        <w:tc>
          <w:tcPr>
            <w:tcW w:w="1740" w:type="dxa"/>
            <w:tcMar>
              <w:top w:type="dxa" w:w="60"/>
              <w:left w:type="dxa" w:w="120"/>
              <w:bottom w:type="dxa" w:w="30"/>
              <w:right w:type="dxa" w:w="120"/>
            </w:tcMar>
          </w:tcPr>
          <w:p>
            <w:pPr>
              <w:spacing w:before="120" w:after="120" w:line="288" w:lineRule="auto"/>
              <w:ind w:left="0"/>
              <w:jc w:val="left"/>
            </w:pPr>
            <w:r>
              <w:rPr>
                <w:rFonts w:eastAsia="等线" w:ascii="Arial" w:cs="Arial" w:hAnsi="Arial"/>
                <w:sz w:val="22"/>
              </w:rPr>
              <w:t>≥4500</w:t>
            </w:r>
          </w:p>
        </w:tc>
        <w:tc>
          <w:tcPr>
            <w:tcW w:w="1740" w:type="dxa"/>
            <w:tcMar>
              <w:top w:type="dxa" w:w="60"/>
              <w:left w:type="dxa" w:w="120"/>
              <w:bottom w:type="dxa" w:w="30"/>
              <w:right w:type="dxa" w:w="120"/>
            </w:tcMar>
          </w:tcPr>
          <w:p>
            <w:pPr>
              <w:spacing w:before="120" w:after="120" w:line="288" w:lineRule="auto"/>
              <w:ind w:left="0"/>
              <w:jc w:val="left"/>
            </w:pPr>
            <w:r>
              <w:rPr>
                <w:rFonts w:eastAsia="等线" w:ascii="Arial" w:cs="Arial" w:hAnsi="Arial"/>
                <w:sz w:val="22"/>
              </w:rPr>
              <w:t>≥4000</w:t>
            </w:r>
          </w:p>
        </w:tc>
      </w:tr>
      <w:tr>
        <w:tc>
          <w:tcPr>
            <w:tcW w:w="2175" w:type="dxa"/>
            <w:tcMar>
              <w:top w:type="dxa" w:w="60"/>
              <w:left w:type="dxa" w:w="120"/>
              <w:bottom w:type="dxa" w:w="30"/>
              <w:right w:type="dxa" w:w="120"/>
            </w:tcMar>
          </w:tcPr>
          <w:p>
            <w:pPr>
              <w:spacing w:before="120" w:after="120" w:line="288" w:lineRule="auto"/>
              <w:ind w:left="0"/>
              <w:jc w:val="left"/>
            </w:pPr>
            <w:r>
              <w:rPr>
                <w:rFonts w:eastAsia="等线" w:ascii="Arial" w:cs="Arial" w:hAnsi="Arial"/>
                <w:sz w:val="22"/>
              </w:rPr>
              <w:t>启停循环寿命</w:t>
            </w:r>
          </w:p>
        </w:tc>
        <w:tc>
          <w:tcPr>
            <w:tcW w:w="975" w:type="dxa"/>
            <w:tcMar>
              <w:top w:type="dxa" w:w="60"/>
              <w:left w:type="dxa" w:w="120"/>
              <w:bottom w:type="dxa" w:w="30"/>
              <w:right w:type="dxa" w:w="120"/>
            </w:tcMar>
          </w:tcPr>
          <w:p>
            <w:pPr>
              <w:spacing w:before="120" w:after="120" w:line="288" w:lineRule="auto"/>
              <w:ind w:left="0"/>
              <w:jc w:val="left"/>
            </w:pPr>
            <w:r>
              <w:rPr>
                <w:rFonts w:eastAsia="等线" w:ascii="Arial" w:cs="Arial" w:hAnsi="Arial"/>
                <w:sz w:val="22"/>
              </w:rPr>
              <w:t>万次</w:t>
            </w:r>
          </w:p>
        </w:tc>
        <w:tc>
          <w:tcPr>
            <w:tcW w:w="1635" w:type="dxa"/>
            <w:tcMar>
              <w:top w:type="dxa" w:w="60"/>
              <w:left w:type="dxa" w:w="120"/>
              <w:bottom w:type="dxa" w:w="30"/>
              <w:right w:type="dxa" w:w="120"/>
            </w:tcMar>
          </w:tcPr>
          <w:p>
            <w:pPr>
              <w:spacing w:before="120" w:after="120" w:line="288" w:lineRule="auto"/>
              <w:ind w:left="0"/>
              <w:jc w:val="left"/>
            </w:pPr>
            <w:r>
              <w:rPr>
                <w:rFonts w:eastAsia="等线" w:ascii="Arial" w:cs="Arial" w:hAnsi="Arial"/>
                <w:sz w:val="22"/>
              </w:rPr>
              <w:t>≥500</w:t>
            </w:r>
          </w:p>
        </w:tc>
        <w:tc>
          <w:tcPr>
            <w:tcW w:w="1740" w:type="dxa"/>
            <w:tcMar>
              <w:top w:type="dxa" w:w="60"/>
              <w:left w:type="dxa" w:w="120"/>
              <w:bottom w:type="dxa" w:w="30"/>
              <w:right w:type="dxa" w:w="120"/>
            </w:tcMar>
          </w:tcPr>
          <w:p>
            <w:pPr>
              <w:spacing w:before="120" w:after="120" w:line="288" w:lineRule="auto"/>
              <w:ind w:left="0"/>
              <w:jc w:val="left"/>
            </w:pPr>
            <w:r>
              <w:rPr>
                <w:rFonts w:eastAsia="等线" w:ascii="Arial" w:cs="Arial" w:hAnsi="Arial"/>
                <w:sz w:val="22"/>
              </w:rPr>
              <w:t>≥500</w:t>
            </w:r>
          </w:p>
        </w:tc>
        <w:tc>
          <w:tcPr>
            <w:tcW w:w="1740" w:type="dxa"/>
            <w:tcMar>
              <w:top w:type="dxa" w:w="60"/>
              <w:left w:type="dxa" w:w="120"/>
              <w:bottom w:type="dxa" w:w="30"/>
              <w:right w:type="dxa" w:w="120"/>
            </w:tcMar>
          </w:tcPr>
          <w:p>
            <w:pPr>
              <w:spacing w:before="120" w:after="120" w:line="288" w:lineRule="auto"/>
              <w:ind w:left="0"/>
              <w:jc w:val="left"/>
            </w:pPr>
            <w:r>
              <w:rPr>
                <w:rFonts w:eastAsia="等线" w:ascii="Arial" w:cs="Arial" w:hAnsi="Arial"/>
                <w:sz w:val="22"/>
              </w:rPr>
              <w:t>≥400</w:t>
            </w:r>
          </w:p>
        </w:tc>
      </w:tr>
    </w:tbl>
    <w:p>
      <w:pPr>
        <w:pStyle w:val="3"/>
        <w:spacing w:before="300" w:after="120" w:line="288" w:lineRule="auto"/>
        <w:ind w:left="0"/>
        <w:jc w:val="left"/>
        <w:outlineLvl w:val="2"/>
      </w:pPr>
      <w:bookmarkStart w:name="heading_87" w:id="87"/>
      <w:r>
        <w:rPr>
          <w:rFonts w:eastAsia="等线" w:ascii="Arial" w:cs="Arial" w:hAnsi="Arial"/>
          <w:b w:val="true"/>
          <w:sz w:val="30"/>
        </w:rPr>
        <w:t>4.2 结构与材料要求</w:t>
      </w:r>
      <w:bookmarkEnd w:id="87"/>
    </w:p>
    <w:p>
      <w:pPr>
        <w:spacing w:before="120" w:after="120" w:line="288" w:lineRule="auto"/>
        <w:ind w:left="0"/>
        <w:jc w:val="left"/>
      </w:pPr>
      <w:r>
        <w:rPr>
          <w:rFonts w:eastAsia="等线" w:ascii="Arial" w:cs="Arial" w:hAnsi="Arial"/>
          <w:sz w:val="22"/>
        </w:rPr>
        <w:t>A）转子、轴承套采用耐磨低膨胀合金，经过时效处理；</w:t>
      </w:r>
    </w:p>
    <w:p>
      <w:pPr>
        <w:spacing w:before="120" w:after="120" w:line="288" w:lineRule="auto"/>
        <w:ind w:left="0"/>
        <w:jc w:val="left"/>
      </w:pPr>
      <w:r>
        <w:rPr>
          <w:rFonts w:eastAsia="等线" w:ascii="Arial" w:cs="Arial" w:hAnsi="Arial"/>
          <w:sz w:val="22"/>
        </w:rPr>
        <w:t>B）转子动平衡等级不低于G1级；</w:t>
      </w:r>
    </w:p>
    <w:p>
      <w:pPr>
        <w:spacing w:before="120" w:after="120" w:line="288" w:lineRule="auto"/>
        <w:ind w:left="0"/>
        <w:jc w:val="left"/>
      </w:pPr>
      <w:r>
        <w:rPr>
          <w:rFonts w:eastAsia="等线" w:ascii="Arial" w:cs="Arial" w:hAnsi="Arial"/>
          <w:sz w:val="22"/>
        </w:rPr>
        <w:t>C）气路密封可靠，无渗漏；</w:t>
      </w:r>
    </w:p>
    <w:p>
      <w:pPr>
        <w:spacing w:before="120" w:after="120" w:line="288" w:lineRule="auto"/>
        <w:ind w:left="0"/>
        <w:jc w:val="left"/>
      </w:pPr>
      <w:r>
        <w:rPr>
          <w:rFonts w:eastAsia="等线" w:ascii="Arial" w:cs="Arial" w:hAnsi="Arial"/>
          <w:sz w:val="22"/>
        </w:rPr>
        <w:t>D）具备失气保护、超温、超速报警联锁。</w:t>
      </w:r>
    </w:p>
    <w:p>
      <w:pPr>
        <w:pStyle w:val="3"/>
        <w:spacing w:before="300" w:after="120" w:line="288" w:lineRule="auto"/>
        <w:ind w:left="0"/>
        <w:jc w:val="left"/>
        <w:outlineLvl w:val="2"/>
      </w:pPr>
      <w:bookmarkStart w:name="heading_88" w:id="88"/>
      <w:r>
        <w:rPr>
          <w:rFonts w:eastAsia="等线" w:ascii="Arial" w:cs="Arial" w:hAnsi="Arial"/>
          <w:b w:val="true"/>
          <w:sz w:val="30"/>
        </w:rPr>
        <w:t>4.3 气膜性能要求</w:t>
      </w:r>
      <w:bookmarkEnd w:id="88"/>
    </w:p>
    <w:p>
      <w:pPr>
        <w:spacing w:before="120" w:after="120" w:line="288" w:lineRule="auto"/>
        <w:ind w:left="0"/>
        <w:jc w:val="left"/>
      </w:pPr>
      <w:r>
        <w:rPr>
          <w:rFonts w:eastAsia="等线" w:ascii="Arial" w:cs="Arial" w:hAnsi="Arial"/>
          <w:sz w:val="22"/>
        </w:rPr>
        <w:t>A）额定供气压力气膜悬浮稳定无抖动；</w:t>
      </w:r>
    </w:p>
    <w:p>
      <w:pPr>
        <w:spacing w:before="120" w:after="120" w:line="288" w:lineRule="auto"/>
        <w:ind w:left="0"/>
        <w:jc w:val="left"/>
      </w:pPr>
      <w:r>
        <w:rPr>
          <w:rFonts w:eastAsia="等线" w:ascii="Arial" w:cs="Arial" w:hAnsi="Arial"/>
          <w:sz w:val="22"/>
        </w:rPr>
        <w:t>B）气膜滞回误差≤5%，按照Q/ZGB002‑2026检测；</w:t>
      </w:r>
    </w:p>
    <w:p>
      <w:pPr>
        <w:spacing w:before="120" w:after="120" w:line="288" w:lineRule="auto"/>
        <w:ind w:left="0"/>
        <w:jc w:val="left"/>
      </w:pPr>
      <w:r>
        <w:rPr>
          <w:rFonts w:eastAsia="等线" w:ascii="Arial" w:cs="Arial" w:hAnsi="Arial"/>
          <w:sz w:val="22"/>
        </w:rPr>
        <w:t>C）载荷波动工况不得发生气膜失稳、转子碰磨。</w:t>
      </w:r>
    </w:p>
    <w:p>
      <w:pPr>
        <w:pStyle w:val="3"/>
        <w:spacing w:before="300" w:after="120" w:line="288" w:lineRule="auto"/>
        <w:ind w:left="0"/>
        <w:jc w:val="left"/>
        <w:outlineLvl w:val="2"/>
      </w:pPr>
      <w:bookmarkStart w:name="heading_89" w:id="89"/>
      <w:r>
        <w:rPr>
          <w:rFonts w:eastAsia="等线" w:ascii="Arial" w:cs="Arial" w:hAnsi="Arial"/>
          <w:b w:val="true"/>
          <w:sz w:val="30"/>
        </w:rPr>
        <w:t>4.4 电气与安全接地</w:t>
      </w:r>
      <w:bookmarkEnd w:id="89"/>
    </w:p>
    <w:p>
      <w:pPr>
        <w:spacing w:before="120" w:after="120" w:line="288" w:lineRule="auto"/>
        <w:ind w:left="0"/>
        <w:jc w:val="left"/>
      </w:pPr>
      <w:r>
        <w:rPr>
          <w:rFonts w:eastAsia="等线" w:ascii="Arial" w:cs="Arial" w:hAnsi="Arial"/>
          <w:sz w:val="22"/>
        </w:rPr>
        <w:t>A）所有外露金属部件可靠接PE保护接地；</w:t>
      </w:r>
    </w:p>
    <w:p>
      <w:pPr>
        <w:spacing w:before="120" w:after="120" w:line="288" w:lineRule="auto"/>
        <w:ind w:left="0"/>
        <w:jc w:val="left"/>
      </w:pPr>
      <w:r>
        <w:rPr>
          <w:rFonts w:eastAsia="等线" w:ascii="Arial" w:cs="Arial" w:hAnsi="Arial"/>
          <w:sz w:val="22"/>
        </w:rPr>
        <w:t>B）外部保护铜导线截面积按照GB 5226.1执行；</w:t>
      </w:r>
    </w:p>
    <w:p>
      <w:pPr>
        <w:spacing w:before="120" w:after="120" w:line="288" w:lineRule="auto"/>
        <w:ind w:left="0"/>
        <w:jc w:val="left"/>
      </w:pPr>
      <w:r>
        <w:rPr>
          <w:rFonts w:eastAsia="等线" w:ascii="Arial" w:cs="Arial" w:hAnsi="Arial"/>
          <w:sz w:val="22"/>
        </w:rPr>
        <w:t>C）DC500V绝缘电阻常态≥20MΩ；湿热后≥1MΩ。</w:t>
      </w:r>
    </w:p>
    <w:p>
      <w:pPr>
        <w:pStyle w:val="3"/>
        <w:spacing w:before="300" w:after="120" w:line="288" w:lineRule="auto"/>
        <w:ind w:left="0"/>
        <w:jc w:val="left"/>
        <w:outlineLvl w:val="2"/>
      </w:pPr>
      <w:bookmarkStart w:name="heading_90" w:id="90"/>
      <w:r>
        <w:rPr>
          <w:rFonts w:eastAsia="等线" w:ascii="Arial" w:cs="Arial" w:hAnsi="Arial"/>
          <w:b w:val="true"/>
          <w:sz w:val="30"/>
        </w:rPr>
        <w:t>4.5 非金属阻燃要求</w:t>
      </w:r>
      <w:bookmarkEnd w:id="90"/>
    </w:p>
    <w:p>
      <w:pPr>
        <w:spacing w:before="120" w:after="120" w:line="288" w:lineRule="auto"/>
        <w:ind w:left="0"/>
        <w:jc w:val="left"/>
      </w:pPr>
      <w:r>
        <w:rPr>
          <w:rFonts w:eastAsia="等线" w:ascii="Arial" w:cs="Arial" w:hAnsi="Arial"/>
          <w:sz w:val="22"/>
        </w:rPr>
        <w:t>外壳非金属部件阻燃V‑1，内部非金属零部件V‑2。</w:t>
      </w:r>
    </w:p>
    <w:p>
      <w:pPr>
        <w:pStyle w:val="3"/>
        <w:spacing w:before="300" w:after="120" w:line="288" w:lineRule="auto"/>
        <w:ind w:left="0"/>
        <w:jc w:val="left"/>
        <w:outlineLvl w:val="2"/>
      </w:pPr>
      <w:bookmarkStart w:name="heading_91" w:id="91"/>
      <w:r>
        <w:rPr>
          <w:rFonts w:eastAsia="等线" w:ascii="Arial" w:cs="Arial" w:hAnsi="Arial"/>
          <w:b w:val="true"/>
          <w:sz w:val="30"/>
        </w:rPr>
        <w:t>4.6 使用、贮存环境</w:t>
      </w:r>
      <w:bookmarkEnd w:id="91"/>
    </w:p>
    <w:p>
      <w:pPr>
        <w:spacing w:before="120" w:after="120" w:line="288" w:lineRule="auto"/>
        <w:ind w:left="0"/>
        <w:jc w:val="left"/>
      </w:pPr>
      <w:r>
        <w:rPr>
          <w:rFonts w:eastAsia="等线" w:ascii="Arial" w:cs="Arial" w:hAnsi="Arial"/>
          <w:sz w:val="22"/>
        </w:rPr>
        <w:t>A）机床使用环境温度20℃±5℃，湿度40‑60%RH无凝露；</w:t>
      </w:r>
    </w:p>
    <w:p>
      <w:pPr>
        <w:spacing w:before="120" w:after="120" w:line="288" w:lineRule="auto"/>
        <w:ind w:left="0"/>
        <w:jc w:val="left"/>
      </w:pPr>
      <w:r>
        <w:rPr>
          <w:rFonts w:eastAsia="等线" w:ascii="Arial" w:cs="Arial" w:hAnsi="Arial"/>
          <w:sz w:val="22"/>
        </w:rPr>
        <w:t>B）运输贮存温度‑25℃~+55℃，湿度10‑95%RH无凝露。</w:t>
      </w:r>
    </w:p>
    <w:p>
      <w:pPr>
        <w:pStyle w:val="2"/>
        <w:spacing w:before="320" w:after="120" w:line="288" w:lineRule="auto"/>
        <w:ind w:left="0"/>
        <w:jc w:val="left"/>
        <w:outlineLvl w:val="1"/>
      </w:pPr>
      <w:bookmarkStart w:name="heading_92" w:id="92"/>
      <w:r>
        <w:rPr>
          <w:rFonts w:eastAsia="等线" w:ascii="Arial" w:cs="Arial" w:hAnsi="Arial"/>
          <w:b w:val="true"/>
          <w:sz w:val="32"/>
        </w:rPr>
        <w:t>5 试验方法</w:t>
      </w:r>
      <w:bookmarkEnd w:id="92"/>
    </w:p>
    <w:p>
      <w:pPr>
        <w:spacing w:before="120" w:after="120" w:line="288" w:lineRule="auto"/>
        <w:ind w:left="0"/>
        <w:jc w:val="left"/>
      </w:pPr>
      <w:r>
        <w:rPr>
          <w:rFonts w:eastAsia="等线" w:ascii="Arial" w:cs="Arial" w:hAnsi="Arial"/>
          <w:sz w:val="22"/>
        </w:rPr>
        <w:t>5.1 回转精度：使用高精度位移检测仪器，分别检测静态、额定转速动态回转跳动。</w:t>
      </w:r>
    </w:p>
    <w:p>
      <w:pPr>
        <w:spacing w:before="120" w:after="120" w:line="288" w:lineRule="auto"/>
        <w:ind w:left="0"/>
        <w:jc w:val="left"/>
      </w:pPr>
      <w:r>
        <w:rPr>
          <w:rFonts w:eastAsia="等线" w:ascii="Arial" w:cs="Arial" w:hAnsi="Arial"/>
          <w:sz w:val="22"/>
        </w:rPr>
        <w:t>5.2 气膜刚度、承载特性：按照Q/ZGB002‑2026执行。</w:t>
      </w:r>
    </w:p>
    <w:p>
      <w:pPr>
        <w:spacing w:before="120" w:after="120" w:line="288" w:lineRule="auto"/>
        <w:ind w:left="0"/>
        <w:jc w:val="left"/>
      </w:pPr>
      <w:r>
        <w:rPr>
          <w:rFonts w:eastAsia="等线" w:ascii="Arial" w:cs="Arial" w:hAnsi="Arial"/>
          <w:sz w:val="22"/>
        </w:rPr>
        <w:t>5.3 振动、噪声、温升试验：按照JB/T13826‑2020执行。</w:t>
      </w:r>
    </w:p>
    <w:p>
      <w:pPr>
        <w:spacing w:before="120" w:after="120" w:line="288" w:lineRule="auto"/>
        <w:ind w:left="0"/>
        <w:jc w:val="left"/>
      </w:pPr>
      <w:r>
        <w:rPr>
          <w:rFonts w:eastAsia="等线" w:ascii="Arial" w:cs="Arial" w:hAnsi="Arial"/>
          <w:sz w:val="22"/>
        </w:rPr>
        <w:t>5.4 气密性：保压10min，压力无明显衰减。</w:t>
      </w:r>
    </w:p>
    <w:p>
      <w:pPr>
        <w:spacing w:before="120" w:after="120" w:line="288" w:lineRule="auto"/>
        <w:ind w:left="0"/>
        <w:jc w:val="left"/>
      </w:pPr>
      <w:r>
        <w:rPr>
          <w:rFonts w:eastAsia="等线" w:ascii="Arial" w:cs="Arial" w:hAnsi="Arial"/>
          <w:sz w:val="22"/>
        </w:rPr>
        <w:t>5.5 电气绝缘、接地连续性按照GB 5226.1检测。</w:t>
      </w:r>
    </w:p>
    <w:p>
      <w:pPr>
        <w:spacing w:before="120" w:after="120" w:line="288" w:lineRule="auto"/>
        <w:ind w:left="0"/>
        <w:jc w:val="left"/>
      </w:pPr>
      <w:r>
        <w:rPr>
          <w:rFonts w:eastAsia="等线" w:ascii="Arial" w:cs="Arial" w:hAnsi="Arial"/>
          <w:sz w:val="22"/>
        </w:rPr>
        <w:t>5.6 保护功能测试：模拟失气、超温条件验证报警停机联锁。</w:t>
      </w:r>
    </w:p>
    <w:p>
      <w:pPr>
        <w:spacing w:before="120" w:after="120" w:line="288" w:lineRule="auto"/>
        <w:ind w:left="0"/>
        <w:jc w:val="left"/>
      </w:pPr>
      <w:r>
        <w:rPr>
          <w:rFonts w:eastAsia="等线" w:ascii="Arial" w:cs="Arial" w:hAnsi="Arial"/>
          <w:sz w:val="22"/>
        </w:rPr>
        <w:t>5.7 可靠性寿命试验：采用连续耐久或者高频启停循环方案，记录失效时间、循环次数，统计MTBF、B10寿命。</w:t>
      </w:r>
    </w:p>
    <w:p>
      <w:pPr>
        <w:pStyle w:val="2"/>
        <w:spacing w:before="320" w:after="120" w:line="288" w:lineRule="auto"/>
        <w:ind w:left="0"/>
        <w:jc w:val="left"/>
        <w:outlineLvl w:val="1"/>
      </w:pPr>
      <w:bookmarkStart w:name="heading_93" w:id="93"/>
      <w:r>
        <w:rPr>
          <w:rFonts w:eastAsia="等线" w:ascii="Arial" w:cs="Arial" w:hAnsi="Arial"/>
          <w:b w:val="true"/>
          <w:sz w:val="32"/>
        </w:rPr>
        <w:t>6 检验规则</w:t>
      </w:r>
      <w:bookmarkEnd w:id="93"/>
    </w:p>
    <w:p>
      <w:pPr>
        <w:pStyle w:val="3"/>
        <w:spacing w:before="300" w:after="120" w:line="288" w:lineRule="auto"/>
        <w:ind w:left="0"/>
        <w:jc w:val="left"/>
        <w:outlineLvl w:val="2"/>
      </w:pPr>
      <w:bookmarkStart w:name="heading_94" w:id="94"/>
      <w:r>
        <w:rPr>
          <w:rFonts w:eastAsia="等线" w:ascii="Arial" w:cs="Arial" w:hAnsi="Arial"/>
          <w:b w:val="true"/>
          <w:sz w:val="30"/>
        </w:rPr>
        <w:t>6.1 检验分类</w:t>
      </w:r>
      <w:bookmarkEnd w:id="94"/>
    </w:p>
    <w:p>
      <w:pPr>
        <w:pStyle w:val="4"/>
        <w:spacing w:before="260" w:after="120" w:line="288" w:lineRule="auto"/>
        <w:ind w:left="0"/>
        <w:jc w:val="left"/>
        <w:outlineLvl w:val="3"/>
      </w:pPr>
      <w:bookmarkStart w:name="heading_95" w:id="95"/>
      <w:r>
        <w:rPr>
          <w:rFonts w:eastAsia="等线" w:ascii="Arial" w:cs="Arial" w:hAnsi="Arial"/>
          <w:b w:val="true"/>
          <w:sz w:val="28"/>
        </w:rPr>
        <w:t>6.1.1 定型检验</w:t>
      </w:r>
      <w:bookmarkEnd w:id="95"/>
    </w:p>
    <w:p>
      <w:pPr>
        <w:spacing w:before="120" w:after="120" w:line="288" w:lineRule="auto"/>
        <w:ind w:left="0"/>
        <w:jc w:val="left"/>
      </w:pPr>
      <w:r>
        <w:rPr>
          <w:rFonts w:eastAsia="等线" w:ascii="Arial" w:cs="Arial" w:hAnsi="Arial"/>
          <w:sz w:val="22"/>
        </w:rPr>
        <w:t>新产品定型、重大结构更改做定型检验；检验项目包含全部性能指标、安全项目、可靠性抽样。完成定型检验报告。</w:t>
      </w:r>
    </w:p>
    <w:p>
      <w:pPr>
        <w:pStyle w:val="4"/>
        <w:spacing w:before="260" w:after="120" w:line="288" w:lineRule="auto"/>
        <w:ind w:left="0"/>
        <w:jc w:val="left"/>
        <w:outlineLvl w:val="3"/>
      </w:pPr>
      <w:bookmarkStart w:name="heading_96" w:id="96"/>
      <w:r>
        <w:rPr>
          <w:rFonts w:eastAsia="等线" w:ascii="Arial" w:cs="Arial" w:hAnsi="Arial"/>
          <w:b w:val="true"/>
          <w:sz w:val="28"/>
        </w:rPr>
        <w:t>6.1.2 出厂检验</w:t>
      </w:r>
      <w:bookmarkEnd w:id="96"/>
    </w:p>
    <w:p>
      <w:pPr>
        <w:spacing w:before="120" w:after="120" w:line="288" w:lineRule="auto"/>
        <w:ind w:left="0"/>
        <w:jc w:val="left"/>
      </w:pPr>
      <w:r>
        <w:rPr>
          <w:rFonts w:eastAsia="等线" w:ascii="Arial" w:cs="Arial" w:hAnsi="Arial"/>
          <w:sz w:val="22"/>
        </w:rPr>
        <w:t>每台主轴必须完成出厂检验；出厂必检项目：外观、气密性、回转精度、空载温升、振动噪声、保护联锁功能。全部合格方可出厂。</w:t>
      </w:r>
    </w:p>
    <w:p>
      <w:pPr>
        <w:pStyle w:val="4"/>
        <w:spacing w:before="260" w:after="120" w:line="288" w:lineRule="auto"/>
        <w:ind w:left="0"/>
        <w:jc w:val="left"/>
        <w:outlineLvl w:val="3"/>
      </w:pPr>
      <w:bookmarkStart w:name="heading_97" w:id="97"/>
      <w:r>
        <w:rPr>
          <w:rFonts w:eastAsia="等线" w:ascii="Arial" w:cs="Arial" w:hAnsi="Arial"/>
          <w:b w:val="true"/>
          <w:sz w:val="28"/>
        </w:rPr>
        <w:t>6.1.3 型式检验</w:t>
      </w:r>
      <w:bookmarkEnd w:id="97"/>
    </w:p>
    <w:p>
      <w:pPr>
        <w:spacing w:before="120" w:after="120" w:line="288" w:lineRule="auto"/>
        <w:ind w:left="0"/>
        <w:jc w:val="left"/>
      </w:pPr>
      <w:r>
        <w:rPr>
          <w:rFonts w:eastAsia="等线" w:ascii="Arial" w:cs="Arial" w:hAnsi="Arial"/>
          <w:sz w:val="22"/>
        </w:rPr>
        <w:t>批量生产每两年进行型式检验；材料、工艺重大变更应做型式检验；型式检验包含全部技术指标，必要开展寿命抽样验证。</w:t>
      </w:r>
    </w:p>
    <w:p>
      <w:pPr>
        <w:pStyle w:val="3"/>
        <w:spacing w:before="300" w:after="120" w:line="288" w:lineRule="auto"/>
        <w:ind w:left="0"/>
        <w:jc w:val="left"/>
        <w:outlineLvl w:val="2"/>
      </w:pPr>
      <w:bookmarkStart w:name="heading_98" w:id="98"/>
      <w:r>
        <w:rPr>
          <w:rFonts w:eastAsia="等线" w:ascii="Arial" w:cs="Arial" w:hAnsi="Arial"/>
          <w:b w:val="true"/>
          <w:sz w:val="30"/>
        </w:rPr>
        <w:t>6.2 质量特性分级判定（JB/T5058‑2006）</w:t>
      </w:r>
      <w:bookmarkEnd w:id="98"/>
    </w:p>
    <w:p>
      <w:pPr>
        <w:spacing w:before="120" w:after="120" w:line="288" w:lineRule="auto"/>
        <w:ind w:left="0"/>
        <w:jc w:val="left"/>
      </w:pPr>
      <w:r>
        <w:rPr>
          <w:rFonts w:eastAsia="等线" w:ascii="Arial" w:cs="Arial" w:hAnsi="Arial"/>
          <w:sz w:val="22"/>
        </w:rPr>
        <w:t>a级重要度：回转精度、气膜悬浮、安全保护、绝缘接地；</w:t>
      </w:r>
    </w:p>
    <w:p>
      <w:pPr>
        <w:spacing w:before="120" w:after="120" w:line="288" w:lineRule="auto"/>
        <w:ind w:left="0"/>
        <w:jc w:val="left"/>
      </w:pPr>
      <w:r>
        <w:rPr>
          <w:rFonts w:eastAsia="等线" w:ascii="Arial" w:cs="Arial" w:hAnsi="Arial"/>
          <w:sz w:val="22"/>
        </w:rPr>
        <w:t>b级重要度：噪声、外观标识等辅助项目。</w:t>
      </w:r>
    </w:p>
    <w:p>
      <w:pPr>
        <w:spacing w:before="120" w:after="120" w:line="288" w:lineRule="auto"/>
        <w:ind w:left="0"/>
        <w:jc w:val="left"/>
      </w:pPr>
      <w:r>
        <w:rPr>
          <w:rFonts w:eastAsia="等线" w:ascii="Arial" w:cs="Arial" w:hAnsi="Arial"/>
          <w:sz w:val="22"/>
        </w:rPr>
        <w:t>判定：a级项目不合格直接判产品不合格；出现2项及以上b级缺陷判定不合格；故障排除允许复检一次。</w:t>
      </w:r>
    </w:p>
    <w:p>
      <w:pPr>
        <w:pStyle w:val="3"/>
        <w:spacing w:before="300" w:after="120" w:line="288" w:lineRule="auto"/>
        <w:ind w:left="0"/>
        <w:jc w:val="left"/>
        <w:outlineLvl w:val="2"/>
      </w:pPr>
      <w:bookmarkStart w:name="heading_99" w:id="99"/>
      <w:r>
        <w:rPr>
          <w:rFonts w:eastAsia="等线" w:ascii="Arial" w:cs="Arial" w:hAnsi="Arial"/>
          <w:b w:val="true"/>
          <w:sz w:val="30"/>
        </w:rPr>
        <w:t>6.3 检验顺序</w:t>
      </w:r>
      <w:bookmarkEnd w:id="99"/>
    </w:p>
    <w:p>
      <w:pPr>
        <w:spacing w:before="120" w:after="120" w:line="288" w:lineRule="auto"/>
        <w:ind w:left="0"/>
        <w:jc w:val="left"/>
      </w:pPr>
      <w:r>
        <w:rPr>
          <w:rFonts w:eastAsia="等线" w:ascii="Arial" w:cs="Arial" w:hAnsi="Arial"/>
          <w:sz w:val="22"/>
        </w:rPr>
        <w:t>外观检查→气密性检测→回转精度→温升振动噪声→保护功能→其它项目。</w:t>
      </w:r>
    </w:p>
    <w:p>
      <w:pPr>
        <w:pStyle w:val="2"/>
        <w:spacing w:before="320" w:after="120" w:line="288" w:lineRule="auto"/>
        <w:ind w:left="0"/>
        <w:jc w:val="left"/>
        <w:outlineLvl w:val="1"/>
      </w:pPr>
      <w:bookmarkStart w:name="heading_100" w:id="100"/>
      <w:r>
        <w:rPr>
          <w:rFonts w:eastAsia="等线" w:ascii="Arial" w:cs="Arial" w:hAnsi="Arial"/>
          <w:b w:val="true"/>
          <w:sz w:val="32"/>
        </w:rPr>
        <w:t>7 标志、包装、运输与贮存</w:t>
      </w:r>
      <w:bookmarkEnd w:id="100"/>
    </w:p>
    <w:p>
      <w:pPr>
        <w:pStyle w:val="3"/>
        <w:spacing w:before="300" w:after="120" w:line="288" w:lineRule="auto"/>
        <w:ind w:left="0"/>
        <w:jc w:val="left"/>
        <w:outlineLvl w:val="2"/>
      </w:pPr>
      <w:bookmarkStart w:name="heading_101" w:id="101"/>
      <w:r>
        <w:rPr>
          <w:rFonts w:eastAsia="等线" w:ascii="Arial" w:cs="Arial" w:hAnsi="Arial"/>
          <w:b w:val="true"/>
          <w:sz w:val="30"/>
        </w:rPr>
        <w:t>7.1 产品铭牌标志</w:t>
      </w:r>
      <w:bookmarkEnd w:id="101"/>
    </w:p>
    <w:p>
      <w:pPr>
        <w:spacing w:before="120" w:after="120" w:line="288" w:lineRule="auto"/>
        <w:ind w:left="0"/>
        <w:jc w:val="left"/>
      </w:pPr>
      <w:r>
        <w:rPr>
          <w:rFonts w:eastAsia="等线" w:ascii="Arial" w:cs="Arial" w:hAnsi="Arial"/>
          <w:sz w:val="22"/>
        </w:rPr>
        <w:t>铭牌标注：产品型号、规格、执行标准Q/ZGB003‑2026、出厂编号、生产日期、制造商。</w:t>
      </w:r>
    </w:p>
    <w:p>
      <w:pPr>
        <w:pStyle w:val="3"/>
        <w:spacing w:before="300" w:after="120" w:line="288" w:lineRule="auto"/>
        <w:ind w:left="0"/>
        <w:jc w:val="left"/>
        <w:outlineLvl w:val="2"/>
      </w:pPr>
      <w:bookmarkStart w:name="heading_102" w:id="102"/>
      <w:r>
        <w:rPr>
          <w:rFonts w:eastAsia="等线" w:ascii="Arial" w:cs="Arial" w:hAnsi="Arial"/>
          <w:b w:val="true"/>
          <w:sz w:val="30"/>
        </w:rPr>
        <w:t>7.2 包装</w:t>
      </w:r>
      <w:bookmarkEnd w:id="102"/>
    </w:p>
    <w:p>
      <w:pPr>
        <w:spacing w:before="120" w:after="120" w:line="288" w:lineRule="auto"/>
        <w:ind w:left="0"/>
        <w:jc w:val="left"/>
      </w:pPr>
      <w:r>
        <w:rPr>
          <w:rFonts w:eastAsia="等线" w:ascii="Arial" w:cs="Arial" w:hAnsi="Arial"/>
          <w:sz w:val="22"/>
        </w:rPr>
        <w:t>包装箱防潮防震，随箱附带合格证、出厂检测报告、使用说明书；内置干燥剂。包装符合GB/T13384。</w:t>
      </w:r>
    </w:p>
    <w:p>
      <w:pPr>
        <w:pStyle w:val="3"/>
        <w:spacing w:before="300" w:after="120" w:line="288" w:lineRule="auto"/>
        <w:ind w:left="0"/>
        <w:jc w:val="left"/>
        <w:outlineLvl w:val="2"/>
      </w:pPr>
      <w:bookmarkStart w:name="heading_103" w:id="103"/>
      <w:r>
        <w:rPr>
          <w:rFonts w:eastAsia="等线" w:ascii="Arial" w:cs="Arial" w:hAnsi="Arial"/>
          <w:b w:val="true"/>
          <w:sz w:val="30"/>
        </w:rPr>
        <w:t>7.3 运输</w:t>
      </w:r>
      <w:bookmarkEnd w:id="103"/>
    </w:p>
    <w:p>
      <w:pPr>
        <w:spacing w:before="120" w:after="120" w:line="288" w:lineRule="auto"/>
        <w:ind w:left="0"/>
        <w:jc w:val="left"/>
      </w:pPr>
      <w:r>
        <w:rPr>
          <w:rFonts w:eastAsia="等线" w:ascii="Arial" w:cs="Arial" w:hAnsi="Arial"/>
          <w:sz w:val="22"/>
        </w:rPr>
        <w:t>禁止露天淋雨、剧烈撞击；箱面印刷小心轻放、怕雨等标识，符合GB/T191。</w:t>
      </w:r>
    </w:p>
    <w:p>
      <w:pPr>
        <w:pStyle w:val="3"/>
        <w:spacing w:before="300" w:after="120" w:line="288" w:lineRule="auto"/>
        <w:ind w:left="0"/>
        <w:jc w:val="left"/>
        <w:outlineLvl w:val="2"/>
      </w:pPr>
      <w:bookmarkStart w:name="heading_104" w:id="104"/>
      <w:r>
        <w:rPr>
          <w:rFonts w:eastAsia="等线" w:ascii="Arial" w:cs="Arial" w:hAnsi="Arial"/>
          <w:b w:val="true"/>
          <w:sz w:val="30"/>
        </w:rPr>
        <w:t>7.4 贮存</w:t>
      </w:r>
      <w:bookmarkEnd w:id="104"/>
    </w:p>
    <w:p>
      <w:pPr>
        <w:spacing w:before="120" w:after="120" w:line="288" w:lineRule="auto"/>
        <w:ind w:left="0"/>
        <w:jc w:val="left"/>
      </w:pPr>
      <w:r>
        <w:rPr>
          <w:rFonts w:eastAsia="等线" w:ascii="Arial" w:cs="Arial" w:hAnsi="Arial"/>
          <w:sz w:val="22"/>
        </w:rPr>
        <w:t>存放于干燥通风库房，温度0‑40℃；长期存放需要定期通气保养。</w:t>
      </w:r>
    </w:p>
    <w:p>
      <w:pPr>
        <w:pStyle w:val="1"/>
        <w:spacing w:before="380" w:after="140" w:line="288" w:lineRule="auto"/>
        <w:ind w:left="0"/>
        <w:jc w:val="left"/>
        <w:outlineLvl w:val="0"/>
      </w:pPr>
      <w:bookmarkStart w:name="heading_105" w:id="105"/>
      <w:r>
        <w:rPr>
          <w:rFonts w:eastAsia="等线" w:ascii="Arial" w:cs="Arial" w:hAnsi="Arial"/>
          <w:b w:val="true"/>
          <w:sz w:val="36"/>
        </w:rPr>
        <w:t>Q/ZGB 004‑2026 复合金刚石切削‑激光改性混合超精密成套装备</w:t>
      </w:r>
      <w:bookmarkEnd w:id="105"/>
    </w:p>
    <w:p>
      <w:pPr>
        <w:pStyle w:val="2"/>
        <w:spacing w:before="320" w:after="120" w:line="288" w:lineRule="auto"/>
        <w:ind w:left="0"/>
        <w:jc w:val="left"/>
        <w:outlineLvl w:val="1"/>
      </w:pPr>
      <w:bookmarkStart w:name="heading_106" w:id="106"/>
      <w:r>
        <w:rPr>
          <w:rFonts w:eastAsia="等线" w:ascii="Arial" w:cs="Arial" w:hAnsi="Arial"/>
          <w:b w:val="true"/>
          <w:sz w:val="32"/>
        </w:rPr>
        <w:t>前 言</w:t>
      </w:r>
      <w:bookmarkEnd w:id="106"/>
    </w:p>
    <w:p>
      <w:pPr>
        <w:spacing w:before="120" w:after="120" w:line="288" w:lineRule="auto"/>
        <w:ind w:left="0"/>
        <w:jc w:val="left"/>
      </w:pPr>
      <w:r>
        <w:rPr>
          <w:rFonts w:eastAsia="等线" w:ascii="Arial" w:cs="Arial" w:hAnsi="Arial"/>
          <w:sz w:val="22"/>
        </w:rPr>
        <w:t>本标准参照GB/T 9061—2006、GB/T 17421.1—1998、GB 15760‑2004、JIS B6330—1980、GB/T 16768‑1997给出的规则起草。</w:t>
      </w:r>
    </w:p>
    <w:p>
      <w:pPr>
        <w:spacing w:before="120" w:after="120" w:line="288" w:lineRule="auto"/>
        <w:ind w:left="0"/>
        <w:jc w:val="left"/>
      </w:pPr>
      <w:r>
        <w:rPr>
          <w:rFonts w:eastAsia="等线" w:ascii="Arial" w:cs="Arial" w:hAnsi="Arial"/>
          <w:sz w:val="22"/>
        </w:rPr>
        <w:t>本标准由浙江朱光波机械科技有限公司提出并负责起草。</w:t>
      </w:r>
    </w:p>
    <w:p>
      <w:pPr>
        <w:spacing w:before="120" w:after="120" w:line="288" w:lineRule="auto"/>
        <w:ind w:left="0"/>
        <w:jc w:val="left"/>
      </w:pPr>
      <w:r>
        <w:rPr>
          <w:rFonts w:eastAsia="等线" w:ascii="Arial" w:cs="Arial" w:hAnsi="Arial"/>
          <w:sz w:val="22"/>
        </w:rPr>
        <w:t>本标准主要起草人：朱光波、王大力、陈先锋、王晓明。</w:t>
      </w:r>
    </w:p>
    <w:p>
      <w:pPr>
        <w:spacing w:before="120" w:after="120" w:line="288" w:lineRule="auto"/>
        <w:ind w:left="0"/>
        <w:jc w:val="left"/>
      </w:pPr>
      <w:r>
        <w:rPr>
          <w:rFonts w:eastAsia="等线" w:ascii="Arial" w:cs="Arial" w:hAnsi="Arial"/>
          <w:sz w:val="22"/>
        </w:rPr>
        <w:t>本标准2026年XX月XX日首次发布，2026年XX月XX日实施。</w:t>
      </w:r>
    </w:p>
    <w:p>
      <w:pPr>
        <w:pStyle w:val="2"/>
        <w:spacing w:before="320" w:after="120" w:line="288" w:lineRule="auto"/>
        <w:ind w:left="0"/>
        <w:jc w:val="left"/>
        <w:outlineLvl w:val="1"/>
      </w:pPr>
      <w:bookmarkStart w:name="heading_107" w:id="107"/>
      <w:r>
        <w:rPr>
          <w:rFonts w:eastAsia="等线" w:ascii="Arial" w:cs="Arial" w:hAnsi="Arial"/>
          <w:b w:val="true"/>
          <w:sz w:val="32"/>
        </w:rPr>
        <w:t>1 范围</w:t>
      </w:r>
      <w:bookmarkEnd w:id="107"/>
    </w:p>
    <w:p>
      <w:pPr>
        <w:spacing w:before="120" w:after="120" w:line="288" w:lineRule="auto"/>
        <w:ind w:left="0"/>
        <w:jc w:val="left"/>
      </w:pPr>
      <w:r>
        <w:rPr>
          <w:rFonts w:eastAsia="等线" w:ascii="Arial" w:cs="Arial" w:hAnsi="Arial"/>
          <w:sz w:val="22"/>
        </w:rPr>
        <w:t>本标准规定了复合金刚石切削‑激光改性混合超精密成套装备的术语和定义、成套装备组成、技术要求、试验方法、检验规则、标志、包装、运输及贮存。</w:t>
      </w:r>
    </w:p>
    <w:p>
      <w:pPr>
        <w:spacing w:before="120" w:after="120" w:line="288" w:lineRule="auto"/>
        <w:ind w:left="0"/>
        <w:jc w:val="left"/>
      </w:pPr>
      <w:r>
        <w:rPr>
          <w:rFonts w:eastAsia="等线" w:ascii="Arial" w:cs="Arial" w:hAnsi="Arial"/>
          <w:sz w:val="22"/>
        </w:rPr>
        <w:t>本标准适用于本公司生产的复合金刚石切削‑激光改性混合超精密成套装备。成套装备包含超精密机床主机、激光工艺单元、气源处理成套单元、恒温冷却成套单元、专用工装夹具组、金刚石刀具辅件、数控工艺软件包、配套检测仪器、安全防护成套组件；可完成辊筒、光学模具、微结构模具的激光预处理、金刚石超精密车削、激光后处理改性复合加工。</w:t>
      </w:r>
    </w:p>
    <w:p>
      <w:pPr>
        <w:spacing w:before="120" w:after="120" w:line="288" w:lineRule="auto"/>
        <w:ind w:left="0"/>
        <w:jc w:val="left"/>
      </w:pPr>
      <w:r>
        <w:rPr>
          <w:rFonts w:eastAsia="等线" w:ascii="Arial" w:cs="Arial" w:hAnsi="Arial"/>
          <w:sz w:val="22"/>
        </w:rPr>
        <w:t>本标准是本成套装备的设计、制造、出厂验收、现场安装调试、质量检验、项目交付以及与客户签订技术合同的主要技术依据。</w:t>
      </w:r>
    </w:p>
    <w:p>
      <w:pPr>
        <w:spacing w:before="120" w:after="120" w:line="288" w:lineRule="auto"/>
        <w:ind w:left="0"/>
        <w:jc w:val="left"/>
      </w:pPr>
      <w:r>
        <w:rPr>
          <w:rFonts w:eastAsia="等线" w:ascii="Arial" w:cs="Arial" w:hAnsi="Arial"/>
          <w:sz w:val="22"/>
        </w:rPr>
        <w:t>本标准不适用于单独拆分销售的分立零部件。</w:t>
      </w:r>
    </w:p>
    <w:p>
      <w:pPr>
        <w:pStyle w:val="2"/>
        <w:spacing w:before="320" w:after="120" w:line="288" w:lineRule="auto"/>
        <w:ind w:left="0"/>
        <w:jc w:val="left"/>
        <w:outlineLvl w:val="1"/>
      </w:pPr>
      <w:bookmarkStart w:name="heading_108" w:id="108"/>
      <w:r>
        <w:rPr>
          <w:rFonts w:eastAsia="等线" w:ascii="Arial" w:cs="Arial" w:hAnsi="Arial"/>
          <w:b w:val="true"/>
          <w:sz w:val="32"/>
        </w:rPr>
        <w:t>2 规范性引用文件</w:t>
      </w:r>
      <w:bookmarkEnd w:id="108"/>
    </w:p>
    <w:p>
      <w:pPr>
        <w:spacing w:before="120" w:after="120" w:line="288" w:lineRule="auto"/>
        <w:ind w:left="0"/>
        <w:jc w:val="left"/>
      </w:pPr>
      <w:r>
        <w:rPr>
          <w:rFonts w:eastAsia="等线" w:ascii="Arial" w:cs="Arial" w:hAnsi="Arial"/>
          <w:sz w:val="22"/>
        </w:rPr>
        <w:t>下列文件对于本文件的应用是必不可少的。凡是注有日期的引用文件，仅所注日期的版本适用于本文件。凡是不注日期的引用文件，其最新版本(包括所有的修改单)适用于本文件。</w:t>
      </w:r>
    </w:p>
    <w:p>
      <w:pPr>
        <w:numPr>
          <w:numId w:val="24"/>
        </w:numPr>
        <w:spacing w:before="120" w:after="120" w:line="288" w:lineRule="auto"/>
        <w:ind w:left="0"/>
        <w:jc w:val="left"/>
      </w:pPr>
      <w:r>
        <w:rPr>
          <w:rFonts w:eastAsia="等线" w:ascii="Arial" w:cs="Arial" w:hAnsi="Arial"/>
          <w:sz w:val="22"/>
        </w:rPr>
        <w:t>GB/T 9061—2006 金属切削机床 通用技术条件</w:t>
      </w:r>
    </w:p>
    <w:p>
      <w:pPr>
        <w:numPr>
          <w:numId w:val="25"/>
        </w:numPr>
        <w:spacing w:before="120" w:after="120" w:line="288" w:lineRule="auto"/>
        <w:ind w:left="0"/>
        <w:jc w:val="left"/>
      </w:pPr>
      <w:r>
        <w:rPr>
          <w:rFonts w:eastAsia="等线" w:ascii="Arial" w:cs="Arial" w:hAnsi="Arial"/>
          <w:sz w:val="22"/>
        </w:rPr>
        <w:t>GB 15760—2004 金属切削机床 安全防护通用技术条件</w:t>
      </w:r>
    </w:p>
    <w:p>
      <w:pPr>
        <w:numPr>
          <w:numId w:val="26"/>
        </w:numPr>
        <w:spacing w:before="120" w:after="120" w:line="288" w:lineRule="auto"/>
        <w:ind w:left="0"/>
        <w:jc w:val="left"/>
      </w:pPr>
      <w:r>
        <w:rPr>
          <w:rFonts w:eastAsia="等线" w:ascii="Arial" w:cs="Arial" w:hAnsi="Arial"/>
          <w:sz w:val="22"/>
        </w:rPr>
        <w:t>GB/T 17421.1—1998 机床检验通则 第1部分：在无负荷或精加工条件下机床的几何精度</w:t>
      </w:r>
    </w:p>
    <w:p>
      <w:pPr>
        <w:numPr>
          <w:numId w:val="27"/>
        </w:numPr>
        <w:spacing w:before="120" w:after="120" w:line="288" w:lineRule="auto"/>
        <w:ind w:left="0"/>
        <w:jc w:val="left"/>
      </w:pPr>
      <w:r>
        <w:rPr>
          <w:rFonts w:eastAsia="等线" w:ascii="Arial" w:cs="Arial" w:hAnsi="Arial"/>
          <w:sz w:val="22"/>
        </w:rPr>
        <w:t>JIS B6330—1980 机床准确工作及定位情况统计检查</w:t>
      </w:r>
    </w:p>
    <w:p>
      <w:pPr>
        <w:numPr>
          <w:numId w:val="28"/>
        </w:numPr>
        <w:spacing w:before="120" w:after="120" w:line="288" w:lineRule="auto"/>
        <w:ind w:left="0"/>
        <w:jc w:val="left"/>
      </w:pPr>
      <w:r>
        <w:rPr>
          <w:rFonts w:eastAsia="等线" w:ascii="Arial" w:cs="Arial" w:hAnsi="Arial"/>
          <w:sz w:val="22"/>
        </w:rPr>
        <w:t>GB/T 16768—1997 金属切削机床 振动测量方法</w:t>
      </w:r>
    </w:p>
    <w:p>
      <w:pPr>
        <w:numPr>
          <w:numId w:val="29"/>
        </w:numPr>
        <w:spacing w:before="120" w:after="120" w:line="288" w:lineRule="auto"/>
        <w:ind w:left="0"/>
        <w:jc w:val="left"/>
      </w:pPr>
      <w:r>
        <w:rPr>
          <w:rFonts w:eastAsia="等线" w:ascii="Arial" w:cs="Arial" w:hAnsi="Arial"/>
          <w:sz w:val="22"/>
        </w:rPr>
        <w:t>GB 5226.1‑2002 机械安全 机械电气设备</w:t>
      </w:r>
    </w:p>
    <w:p>
      <w:pPr>
        <w:numPr>
          <w:numId w:val="30"/>
        </w:numPr>
        <w:spacing w:before="120" w:after="120" w:line="288" w:lineRule="auto"/>
        <w:ind w:left="0"/>
        <w:jc w:val="left"/>
      </w:pPr>
      <w:r>
        <w:rPr>
          <w:rFonts w:eastAsia="等线" w:ascii="Arial" w:cs="Arial" w:hAnsi="Arial"/>
          <w:sz w:val="22"/>
        </w:rPr>
        <w:t>GB/T 5169.16‑2008 电工电子产品着火危险试验</w:t>
      </w:r>
    </w:p>
    <w:p>
      <w:pPr>
        <w:numPr>
          <w:numId w:val="31"/>
        </w:numPr>
        <w:spacing w:before="120" w:after="120" w:line="288" w:lineRule="auto"/>
        <w:ind w:left="0"/>
        <w:jc w:val="left"/>
      </w:pPr>
      <w:r>
        <w:rPr>
          <w:rFonts w:eastAsia="等线" w:ascii="Arial" w:cs="Arial" w:hAnsi="Arial"/>
          <w:sz w:val="22"/>
        </w:rPr>
        <w:t>JB/T 5058‑2006 机械产品质量特性重要度分级导则</w:t>
      </w:r>
    </w:p>
    <w:p>
      <w:pPr>
        <w:numPr>
          <w:numId w:val="32"/>
        </w:numPr>
        <w:spacing w:before="120" w:after="120" w:line="288" w:lineRule="auto"/>
        <w:ind w:left="0"/>
        <w:jc w:val="left"/>
      </w:pPr>
      <w:r>
        <w:rPr>
          <w:rFonts w:eastAsia="等线" w:ascii="Arial" w:cs="Arial" w:hAnsi="Arial"/>
          <w:sz w:val="22"/>
        </w:rPr>
        <w:t>Q/ZGB 002‑2026 气浮主轴气膜刚度与承载特性检测规范</w:t>
      </w:r>
    </w:p>
    <w:p>
      <w:pPr>
        <w:pStyle w:val="2"/>
        <w:spacing w:before="320" w:after="120" w:line="288" w:lineRule="auto"/>
        <w:ind w:left="0"/>
        <w:jc w:val="left"/>
        <w:outlineLvl w:val="1"/>
      </w:pPr>
      <w:bookmarkStart w:name="heading_109" w:id="109"/>
      <w:r>
        <w:rPr>
          <w:rFonts w:eastAsia="等线" w:ascii="Arial" w:cs="Arial" w:hAnsi="Arial"/>
          <w:b w:val="true"/>
          <w:sz w:val="32"/>
        </w:rPr>
        <w:t>3 术语和定义</w:t>
      </w:r>
      <w:bookmarkEnd w:id="109"/>
    </w:p>
    <w:p>
      <w:pPr>
        <w:pStyle w:val="3"/>
        <w:spacing w:before="300" w:after="120" w:line="288" w:lineRule="auto"/>
        <w:ind w:left="0"/>
        <w:jc w:val="left"/>
        <w:outlineLvl w:val="2"/>
      </w:pPr>
      <w:bookmarkStart w:name="heading_110" w:id="110"/>
      <w:r>
        <w:rPr>
          <w:rFonts w:eastAsia="等线" w:ascii="Arial" w:cs="Arial" w:hAnsi="Arial"/>
          <w:b w:val="true"/>
          <w:sz w:val="30"/>
        </w:rPr>
        <w:t>3.1 复合金刚石切削‑激光改性混合超精密成套装备</w:t>
      </w:r>
      <w:bookmarkEnd w:id="110"/>
    </w:p>
    <w:p>
      <w:pPr>
        <w:spacing w:before="120" w:after="120" w:line="288" w:lineRule="auto"/>
        <w:ind w:left="0"/>
        <w:jc w:val="left"/>
      </w:pPr>
      <w:r>
        <w:rPr>
          <w:rFonts w:eastAsia="等线" w:ascii="Arial" w:cs="Arial" w:hAnsi="Arial"/>
          <w:sz w:val="22"/>
        </w:rPr>
        <w:t>由机床主机、激光工艺单元、气源成套单元、冷却成套单元、工装夹具组、刀具辅件、工艺软件包、检测仪器、安全防护组件共同组成的完整可交付使用的成套加工装备，工件一次装夹完成金刚石切削、激光预处理、激光后改性多道工序。</w:t>
      </w:r>
    </w:p>
    <w:p>
      <w:pPr>
        <w:pStyle w:val="3"/>
        <w:spacing w:before="300" w:after="120" w:line="288" w:lineRule="auto"/>
        <w:ind w:left="0"/>
        <w:jc w:val="left"/>
        <w:outlineLvl w:val="2"/>
      </w:pPr>
      <w:bookmarkStart w:name="heading_111" w:id="111"/>
      <w:r>
        <w:rPr>
          <w:rFonts w:eastAsia="等线" w:ascii="Arial" w:cs="Arial" w:hAnsi="Arial"/>
          <w:b w:val="true"/>
          <w:sz w:val="30"/>
        </w:rPr>
        <w:t>3.2 单点金刚石切削</w:t>
      </w:r>
      <w:bookmarkEnd w:id="111"/>
    </w:p>
    <w:p>
      <w:pPr>
        <w:spacing w:before="120" w:after="120" w:line="288" w:lineRule="auto"/>
        <w:ind w:left="0"/>
        <w:jc w:val="left"/>
      </w:pPr>
      <w:r>
        <w:rPr>
          <w:rFonts w:eastAsia="等线" w:ascii="Arial" w:cs="Arial" w:hAnsi="Arial"/>
          <w:sz w:val="22"/>
        </w:rPr>
        <w:t>采用单晶金刚石刀具，在超精密机床上实现纳米级表面粗糙度的无塑性流动切削加工工艺。</w:t>
      </w:r>
    </w:p>
    <w:p>
      <w:pPr>
        <w:pStyle w:val="3"/>
        <w:spacing w:before="300" w:after="120" w:line="288" w:lineRule="auto"/>
        <w:ind w:left="0"/>
        <w:jc w:val="left"/>
        <w:outlineLvl w:val="2"/>
      </w:pPr>
      <w:bookmarkStart w:name="heading_112" w:id="112"/>
      <w:r>
        <w:rPr>
          <w:rFonts w:eastAsia="等线" w:ascii="Arial" w:cs="Arial" w:hAnsi="Arial"/>
          <w:b w:val="true"/>
          <w:sz w:val="30"/>
        </w:rPr>
        <w:t>3.3 激光表面改性</w:t>
      </w:r>
      <w:bookmarkEnd w:id="112"/>
    </w:p>
    <w:p>
      <w:pPr>
        <w:spacing w:before="120" w:after="120" w:line="288" w:lineRule="auto"/>
        <w:ind w:left="0"/>
        <w:jc w:val="left"/>
      </w:pPr>
      <w:r>
        <w:rPr>
          <w:rFonts w:eastAsia="等线" w:ascii="Arial" w:cs="Arial" w:hAnsi="Arial"/>
          <w:sz w:val="22"/>
        </w:rPr>
        <w:t>利用固态激光对工件表面进行激光退火、激光重熔、激光微织构预处理或后处理，改变工件表层物理性能与微观形貌的工艺。</w:t>
      </w:r>
    </w:p>
    <w:p>
      <w:pPr>
        <w:pStyle w:val="3"/>
        <w:spacing w:before="300" w:after="120" w:line="288" w:lineRule="auto"/>
        <w:ind w:left="0"/>
        <w:jc w:val="left"/>
        <w:outlineLvl w:val="2"/>
      </w:pPr>
      <w:bookmarkStart w:name="heading_113" w:id="113"/>
      <w:r>
        <w:rPr>
          <w:rFonts w:eastAsia="等线" w:ascii="Arial" w:cs="Arial" w:hAnsi="Arial"/>
          <w:b w:val="true"/>
          <w:sz w:val="30"/>
        </w:rPr>
        <w:t>3.4 工艺复合联动</w:t>
      </w:r>
      <w:bookmarkEnd w:id="113"/>
    </w:p>
    <w:p>
      <w:pPr>
        <w:spacing w:before="120" w:after="120" w:line="288" w:lineRule="auto"/>
        <w:ind w:left="0"/>
        <w:jc w:val="left"/>
      </w:pPr>
      <w:r>
        <w:rPr>
          <w:rFonts w:eastAsia="等线" w:ascii="Arial" w:cs="Arial" w:hAnsi="Arial"/>
          <w:sz w:val="22"/>
        </w:rPr>
        <w:t>成套装备内部数控系统实现金刚石切削工艺与激光改性工艺时序联动，工件无需二次拆装切换加工工序。</w:t>
      </w:r>
    </w:p>
    <w:p>
      <w:pPr>
        <w:pStyle w:val="3"/>
        <w:spacing w:before="300" w:after="120" w:line="288" w:lineRule="auto"/>
        <w:ind w:left="0"/>
        <w:jc w:val="left"/>
        <w:outlineLvl w:val="2"/>
      </w:pPr>
      <w:bookmarkStart w:name="heading_114" w:id="114"/>
      <w:r>
        <w:rPr>
          <w:rFonts w:eastAsia="等线" w:ascii="Arial" w:cs="Arial" w:hAnsi="Arial"/>
          <w:b w:val="true"/>
          <w:sz w:val="30"/>
        </w:rPr>
        <w:t>3.5 气浮回转主轴</w:t>
      </w:r>
      <w:bookmarkEnd w:id="114"/>
    </w:p>
    <w:p>
      <w:pPr>
        <w:spacing w:before="120" w:after="120" w:line="288" w:lineRule="auto"/>
        <w:ind w:left="0"/>
        <w:jc w:val="left"/>
      </w:pPr>
      <w:r>
        <w:rPr>
          <w:rFonts w:eastAsia="等线" w:ascii="Arial" w:cs="Arial" w:hAnsi="Arial"/>
          <w:sz w:val="22"/>
        </w:rPr>
        <w:t>采用空气静压轴承支撑，实现工件回转，回转精度达到纳米级的工作主轴。</w:t>
      </w:r>
    </w:p>
    <w:p>
      <w:pPr>
        <w:pStyle w:val="3"/>
        <w:spacing w:before="300" w:after="120" w:line="288" w:lineRule="auto"/>
        <w:ind w:left="0"/>
        <w:jc w:val="left"/>
        <w:outlineLvl w:val="2"/>
      </w:pPr>
      <w:bookmarkStart w:name="heading_115" w:id="115"/>
      <w:r>
        <w:rPr>
          <w:rFonts w:eastAsia="等线" w:ascii="Arial" w:cs="Arial" w:hAnsi="Arial"/>
          <w:b w:val="true"/>
          <w:sz w:val="30"/>
        </w:rPr>
        <w:t>3.6 激光同轴定位精度</w:t>
      </w:r>
      <w:bookmarkEnd w:id="115"/>
    </w:p>
    <w:p>
      <w:pPr>
        <w:spacing w:before="120" w:after="120" w:line="288" w:lineRule="auto"/>
        <w:ind w:left="0"/>
        <w:jc w:val="left"/>
      </w:pPr>
      <w:r>
        <w:rPr>
          <w:rFonts w:eastAsia="等线" w:ascii="Arial" w:cs="Arial" w:hAnsi="Arial"/>
          <w:sz w:val="22"/>
        </w:rPr>
        <w:t>激光光斑中心与金刚石刀尖空间位置重复对中误差。</w:t>
      </w:r>
    </w:p>
    <w:p>
      <w:pPr>
        <w:pStyle w:val="3"/>
        <w:spacing w:before="300" w:after="120" w:line="288" w:lineRule="auto"/>
        <w:ind w:left="0"/>
        <w:jc w:val="left"/>
        <w:outlineLvl w:val="2"/>
      </w:pPr>
      <w:bookmarkStart w:name="heading_116" w:id="116"/>
      <w:r>
        <w:rPr>
          <w:rFonts w:eastAsia="等线" w:ascii="Arial" w:cs="Arial" w:hAnsi="Arial"/>
          <w:b w:val="true"/>
          <w:sz w:val="30"/>
        </w:rPr>
        <w:t>3.7 超精密</w:t>
      </w:r>
      <w:bookmarkEnd w:id="116"/>
    </w:p>
    <w:p>
      <w:pPr>
        <w:spacing w:before="120" w:after="120" w:line="288" w:lineRule="auto"/>
        <w:ind w:left="0"/>
        <w:jc w:val="left"/>
      </w:pPr>
      <w:r>
        <w:rPr>
          <w:rFonts w:eastAsia="等线" w:ascii="Arial" w:cs="Arial" w:hAnsi="Arial"/>
          <w:sz w:val="22"/>
        </w:rPr>
        <w:t>各进给轴的分辨率达到0.00001mm及以上。</w:t>
      </w:r>
    </w:p>
    <w:p>
      <w:pPr>
        <w:pStyle w:val="3"/>
        <w:spacing w:before="300" w:after="120" w:line="288" w:lineRule="auto"/>
        <w:ind w:left="0"/>
        <w:jc w:val="left"/>
        <w:outlineLvl w:val="2"/>
      </w:pPr>
      <w:bookmarkStart w:name="heading_117" w:id="117"/>
      <w:r>
        <w:rPr>
          <w:rFonts w:eastAsia="等线" w:ascii="Arial" w:cs="Arial" w:hAnsi="Arial"/>
          <w:b w:val="true"/>
          <w:sz w:val="30"/>
        </w:rPr>
        <w:t>3.8 成套交付</w:t>
      </w:r>
      <w:bookmarkEnd w:id="117"/>
    </w:p>
    <w:p>
      <w:pPr>
        <w:spacing w:before="120" w:after="120" w:line="288" w:lineRule="auto"/>
        <w:ind w:left="0"/>
        <w:jc w:val="left"/>
      </w:pPr>
      <w:r>
        <w:rPr>
          <w:rFonts w:eastAsia="等线" w:ascii="Arial" w:cs="Arial" w:hAnsi="Arial"/>
          <w:sz w:val="22"/>
        </w:rPr>
        <w:t>装备全部单元、工装、软件、仪器、安全组件配套齐全，到货后经安装调试即可开展复合加工。</w:t>
      </w:r>
    </w:p>
    <w:p>
      <w:pPr>
        <w:pStyle w:val="2"/>
        <w:spacing w:before="320" w:after="120" w:line="288" w:lineRule="auto"/>
        <w:ind w:left="0"/>
        <w:jc w:val="left"/>
        <w:outlineLvl w:val="1"/>
      </w:pPr>
      <w:bookmarkStart w:name="heading_118" w:id="118"/>
      <w:r>
        <w:rPr>
          <w:rFonts w:eastAsia="等线" w:ascii="Arial" w:cs="Arial" w:hAnsi="Arial"/>
          <w:b w:val="true"/>
          <w:sz w:val="32"/>
        </w:rPr>
        <w:t>4 技术要求</w:t>
      </w:r>
      <w:bookmarkEnd w:id="118"/>
    </w:p>
    <w:p>
      <w:pPr>
        <w:pStyle w:val="3"/>
        <w:spacing w:before="300" w:after="120" w:line="288" w:lineRule="auto"/>
        <w:ind w:left="0"/>
        <w:jc w:val="left"/>
        <w:outlineLvl w:val="2"/>
      </w:pPr>
      <w:bookmarkStart w:name="heading_119" w:id="119"/>
      <w:r>
        <w:rPr>
          <w:rFonts w:eastAsia="等线" w:ascii="Arial" w:cs="Arial" w:hAnsi="Arial"/>
          <w:b w:val="true"/>
          <w:sz w:val="30"/>
        </w:rPr>
        <w:t>4.1 成套装备组成</w:t>
      </w:r>
      <w:bookmarkEnd w:id="119"/>
    </w:p>
    <w:p>
      <w:pPr>
        <w:spacing w:before="120" w:after="120" w:line="288" w:lineRule="auto"/>
        <w:ind w:left="0"/>
        <w:jc w:val="left"/>
      </w:pPr>
      <w:r>
        <w:rPr>
          <w:rFonts w:eastAsia="等线" w:ascii="Arial" w:cs="Arial" w:hAnsi="Arial"/>
          <w:sz w:val="22"/>
        </w:rPr>
        <w:t>成套装备由以下单元组成，交付时应完整配套：</w:t>
      </w:r>
    </w:p>
    <w:p>
      <w:pPr>
        <w:spacing w:before="120" w:after="120" w:line="288" w:lineRule="auto"/>
        <w:ind w:left="0"/>
        <w:jc w:val="left"/>
      </w:pPr>
      <w:r>
        <w:rPr>
          <w:rFonts w:eastAsia="等线" w:ascii="Arial" w:cs="Arial" w:hAnsi="Arial"/>
          <w:sz w:val="22"/>
        </w:rPr>
        <w:t>A）超精密机床主机单元（大理石床身、气浮主轴、气浮进给导轨、直线电机、数控主机柜）；</w:t>
      </w:r>
    </w:p>
    <w:p>
      <w:pPr>
        <w:spacing w:before="120" w:after="120" w:line="288" w:lineRule="auto"/>
        <w:ind w:left="0"/>
        <w:jc w:val="left"/>
      </w:pPr>
      <w:r>
        <w:rPr>
          <w:rFonts w:eastAsia="等线" w:ascii="Arial" w:cs="Arial" w:hAnsi="Arial"/>
          <w:sz w:val="22"/>
        </w:rPr>
        <w:t>B）激光工艺单元（激光器、光路聚焦组件、激光防护舱、视觉对中模块）；</w:t>
      </w:r>
    </w:p>
    <w:p>
      <w:pPr>
        <w:spacing w:before="120" w:after="120" w:line="288" w:lineRule="auto"/>
        <w:ind w:left="0"/>
        <w:jc w:val="left"/>
      </w:pPr>
      <w:r>
        <w:rPr>
          <w:rFonts w:eastAsia="等线" w:ascii="Arial" w:cs="Arial" w:hAnsi="Arial"/>
          <w:sz w:val="22"/>
        </w:rPr>
        <w:t>C）气源处理成套单元（空压机、储气罐、三级精密过滤、冷冻干燥、稳压控制、报警联锁）；</w:t>
      </w:r>
    </w:p>
    <w:p>
      <w:pPr>
        <w:spacing w:before="120" w:after="120" w:line="288" w:lineRule="auto"/>
        <w:ind w:left="0"/>
        <w:jc w:val="left"/>
      </w:pPr>
      <w:r>
        <w:rPr>
          <w:rFonts w:eastAsia="等线" w:ascii="Arial" w:cs="Arial" w:hAnsi="Arial"/>
          <w:sz w:val="22"/>
        </w:rPr>
        <w:t>D）恒温冷却成套单元（主轴水冷机组、激光模块冷水机、温控联锁系统）；</w:t>
      </w:r>
    </w:p>
    <w:p>
      <w:pPr>
        <w:spacing w:before="120" w:after="120" w:line="288" w:lineRule="auto"/>
        <w:ind w:left="0"/>
        <w:jc w:val="left"/>
      </w:pPr>
      <w:r>
        <w:rPr>
          <w:rFonts w:eastAsia="等线" w:ascii="Arial" w:cs="Arial" w:hAnsi="Arial"/>
          <w:sz w:val="22"/>
        </w:rPr>
        <w:t>E）专用工装夹具组（辊筒、光学模具多套专用卡盘、顶尖、定位工装）；</w:t>
      </w:r>
    </w:p>
    <w:p>
      <w:pPr>
        <w:spacing w:before="120" w:after="120" w:line="288" w:lineRule="auto"/>
        <w:ind w:left="0"/>
        <w:jc w:val="left"/>
      </w:pPr>
      <w:r>
        <w:rPr>
          <w:rFonts w:eastAsia="等线" w:ascii="Arial" w:cs="Arial" w:hAnsi="Arial"/>
          <w:sz w:val="22"/>
        </w:rPr>
        <w:t>F）金刚石刀具成套辅件（金刚石刀架、标准校验刀具、拆装工具组）；</w:t>
      </w:r>
    </w:p>
    <w:p>
      <w:pPr>
        <w:spacing w:before="120" w:after="120" w:line="288" w:lineRule="auto"/>
        <w:ind w:left="0"/>
        <w:jc w:val="left"/>
      </w:pPr>
      <w:r>
        <w:rPr>
          <w:rFonts w:eastAsia="等线" w:ascii="Arial" w:cs="Arial" w:hAnsi="Arial"/>
          <w:sz w:val="22"/>
        </w:rPr>
        <w:t>G）数控工艺软件包（金刚石切削‑激光复合工艺编程软件、工艺模板库、参数库）；</w:t>
      </w:r>
    </w:p>
    <w:p>
      <w:pPr>
        <w:spacing w:before="120" w:after="120" w:line="288" w:lineRule="auto"/>
        <w:ind w:left="0"/>
        <w:jc w:val="left"/>
      </w:pPr>
      <w:r>
        <w:rPr>
          <w:rFonts w:eastAsia="等线" w:ascii="Arial" w:cs="Arial" w:hAnsi="Arial"/>
          <w:sz w:val="22"/>
        </w:rPr>
        <w:t>H）现场配套检测仪器（便携式振动检测工具、精度校验标准件）；</w:t>
      </w:r>
    </w:p>
    <w:p>
      <w:pPr>
        <w:spacing w:before="120" w:after="120" w:line="288" w:lineRule="auto"/>
        <w:ind w:left="0"/>
        <w:jc w:val="left"/>
      </w:pPr>
      <w:r>
        <w:rPr>
          <w:rFonts w:eastAsia="等线" w:ascii="Arial" w:cs="Arial" w:hAnsi="Arial"/>
          <w:sz w:val="22"/>
        </w:rPr>
        <w:t>I）安全防护成套组件（激光安全防护、隔音防护、电气防护、警示标识成套组件）。</w:t>
      </w:r>
    </w:p>
    <w:p>
      <w:pPr>
        <w:pStyle w:val="3"/>
        <w:spacing w:before="300" w:after="120" w:line="288" w:lineRule="auto"/>
        <w:ind w:left="0"/>
        <w:jc w:val="left"/>
        <w:outlineLvl w:val="2"/>
      </w:pPr>
      <w:bookmarkStart w:name="heading_120" w:id="120"/>
      <w:r>
        <w:rPr>
          <w:rFonts w:eastAsia="等线" w:ascii="Arial" w:cs="Arial" w:hAnsi="Arial"/>
          <w:b w:val="true"/>
          <w:sz w:val="30"/>
        </w:rPr>
        <w:t>4.2 成套装备整机基本参数</w:t>
      </w:r>
      <w:bookmarkEnd w:id="120"/>
    </w:p>
    <w:tbl>
      <w:tblPr>
        <w:tblW w:w="0" w:type="auto"/>
        <w:tblInd w:w="0" w:type="dxa"/>
        <w:tblBorders>
          <w:top w:val="single" w:color="dee0e3"/>
          <w:left w:val="single" w:color="dee0e3"/>
          <w:bottom w:val="single" w:color="dee0e3"/>
          <w:right w:val="single" w:color="dee0e3"/>
          <w:insideH w:val="single" w:color="dee0e3"/>
          <w:insideV w:val="single" w:color="dee0e3"/>
        </w:tblBorders>
        <w:tblLayout w:type="fixed"/>
      </w:tblPr>
      <w:tblGrid>
        <w:gridCol w:w="2610"/>
        <w:gridCol w:w="1095"/>
        <w:gridCol w:w="4575"/>
      </w:tblGrid>
      <w:tr>
        <w:tc>
          <w:tcPr>
            <w:tcW w:w="2610" w:type="dxa"/>
            <w:tcMar>
              <w:top w:type="dxa" w:w="60"/>
              <w:left w:type="dxa" w:w="120"/>
              <w:bottom w:type="dxa" w:w="30"/>
              <w:right w:type="dxa" w:w="120"/>
            </w:tcMar>
          </w:tcPr>
          <w:p>
            <w:pPr>
              <w:spacing w:before="120" w:after="120" w:line="288" w:lineRule="auto"/>
              <w:ind w:left="0"/>
              <w:jc w:val="left"/>
            </w:pPr>
            <w:r>
              <w:rPr>
                <w:rFonts w:eastAsia="等线" w:ascii="Arial" w:cs="Arial" w:hAnsi="Arial"/>
                <w:sz w:val="22"/>
              </w:rPr>
              <w:t>项目</w:t>
            </w:r>
          </w:p>
        </w:tc>
        <w:tc>
          <w:tcPr>
            <w:tcW w:w="1095" w:type="dxa"/>
            <w:tcMar>
              <w:top w:type="dxa" w:w="60"/>
              <w:left w:type="dxa" w:w="120"/>
              <w:bottom w:type="dxa" w:w="30"/>
              <w:right w:type="dxa" w:w="120"/>
            </w:tcMar>
          </w:tcPr>
          <w:p>
            <w:pPr>
              <w:spacing w:before="120" w:after="120" w:line="288" w:lineRule="auto"/>
              <w:ind w:left="0"/>
              <w:jc w:val="left"/>
            </w:pPr>
            <w:r>
              <w:rPr>
                <w:rFonts w:eastAsia="等线" w:ascii="Arial" w:cs="Arial" w:hAnsi="Arial"/>
                <w:sz w:val="22"/>
              </w:rPr>
              <w:t>单位</w:t>
            </w:r>
          </w:p>
        </w:tc>
        <w:tc>
          <w:tcPr>
            <w:tcW w:w="4575" w:type="dxa"/>
            <w:tcMar>
              <w:top w:type="dxa" w:w="60"/>
              <w:left w:type="dxa" w:w="120"/>
              <w:bottom w:type="dxa" w:w="30"/>
              <w:right w:type="dxa" w:w="120"/>
            </w:tcMar>
          </w:tcPr>
          <w:p>
            <w:pPr>
              <w:spacing w:before="120" w:after="120" w:line="288" w:lineRule="auto"/>
              <w:ind w:left="0"/>
              <w:jc w:val="left"/>
            </w:pPr>
            <w:r>
              <w:rPr>
                <w:rFonts w:eastAsia="等线" w:ascii="Arial" w:cs="Arial" w:hAnsi="Arial"/>
                <w:sz w:val="22"/>
              </w:rPr>
              <w:t>参数</w:t>
            </w:r>
          </w:p>
        </w:tc>
      </w:tr>
      <w:tr>
        <w:tc>
          <w:tcPr>
            <w:tcW w:w="2610" w:type="dxa"/>
            <w:tcMar>
              <w:top w:type="dxa" w:w="60"/>
              <w:left w:type="dxa" w:w="120"/>
              <w:bottom w:type="dxa" w:w="30"/>
              <w:right w:type="dxa" w:w="120"/>
            </w:tcMar>
          </w:tcPr>
          <w:p>
            <w:pPr>
              <w:spacing w:before="120" w:after="120" w:line="288" w:lineRule="auto"/>
              <w:ind w:left="0"/>
              <w:jc w:val="left"/>
            </w:pPr>
            <w:r>
              <w:rPr>
                <w:rFonts w:eastAsia="等线" w:ascii="Arial" w:cs="Arial" w:hAnsi="Arial"/>
                <w:b w:val="true"/>
                <w:sz w:val="22"/>
              </w:rPr>
              <w:t>主机行程</w:t>
            </w:r>
          </w:p>
        </w:tc>
        <w:tc>
          <w:tcPr>
            <w:tcW w:w="1095" w:type="dxa"/>
            <w:tcMar>
              <w:top w:type="dxa" w:w="60"/>
              <w:left w:type="dxa" w:w="120"/>
              <w:bottom w:type="dxa" w:w="30"/>
              <w:right w:type="dxa" w:w="120"/>
            </w:tcMar>
          </w:tcPr>
          <w:p>
            <w:pPr>
              <w:spacing w:before="120" w:after="120" w:line="288" w:lineRule="auto"/>
              <w:ind w:left="0"/>
              <w:jc w:val="left"/>
            </w:pPr>
            <w:r>
              <w:rPr>
                <w:rFonts w:eastAsia="等线" w:ascii="Arial" w:cs="Arial" w:hAnsi="Arial"/>
                <w:sz w:val="22"/>
              </w:rPr>
              <w:t>—</w:t>
            </w:r>
          </w:p>
        </w:tc>
        <w:tc>
          <w:tcPr>
            <w:tcW w:w="4575" w:type="dxa"/>
            <w:tcMar>
              <w:top w:type="dxa" w:w="60"/>
              <w:left w:type="dxa" w:w="120"/>
              <w:bottom w:type="dxa" w:w="30"/>
              <w:right w:type="dxa" w:w="120"/>
            </w:tcMar>
          </w:tcPr>
          <w:p>
            <w:pPr>
              <w:spacing w:before="120" w:after="120" w:line="288" w:lineRule="auto"/>
              <w:ind w:left="0"/>
              <w:jc w:val="left"/>
            </w:pPr>
            <w:r>
              <w:rPr>
                <w:rFonts w:eastAsia="等线" w:ascii="Arial" w:cs="Arial" w:hAnsi="Arial"/>
                <w:sz w:val="22"/>
              </w:rPr>
              <w:t>—</w:t>
            </w:r>
          </w:p>
        </w:tc>
      </w:tr>
      <w:tr>
        <w:tc>
          <w:tcPr>
            <w:tcW w:w="2610" w:type="dxa"/>
            <w:tcMar>
              <w:top w:type="dxa" w:w="60"/>
              <w:left w:type="dxa" w:w="120"/>
              <w:bottom w:type="dxa" w:w="30"/>
              <w:right w:type="dxa" w:w="120"/>
            </w:tcMar>
          </w:tcPr>
          <w:p>
            <w:pPr>
              <w:spacing w:before="120" w:after="120" w:line="288" w:lineRule="auto"/>
              <w:ind w:left="0"/>
              <w:jc w:val="left"/>
            </w:pPr>
            <w:r>
              <w:rPr>
                <w:rFonts w:eastAsia="等线" w:ascii="Arial" w:cs="Arial" w:hAnsi="Arial"/>
                <w:sz w:val="22"/>
              </w:rPr>
              <w:t>X轴行程</w:t>
            </w:r>
          </w:p>
        </w:tc>
        <w:tc>
          <w:tcPr>
            <w:tcW w:w="1095" w:type="dxa"/>
            <w:tcMar>
              <w:top w:type="dxa" w:w="60"/>
              <w:left w:type="dxa" w:w="120"/>
              <w:bottom w:type="dxa" w:w="30"/>
              <w:right w:type="dxa" w:w="120"/>
            </w:tcMar>
          </w:tcPr>
          <w:p>
            <w:pPr>
              <w:spacing w:before="120" w:after="120" w:line="288" w:lineRule="auto"/>
              <w:ind w:left="0"/>
              <w:jc w:val="left"/>
            </w:pPr>
            <w:r>
              <w:rPr>
                <w:rFonts w:eastAsia="等线" w:ascii="Arial" w:cs="Arial" w:hAnsi="Arial"/>
                <w:sz w:val="22"/>
              </w:rPr>
              <w:t>mm</w:t>
            </w:r>
          </w:p>
        </w:tc>
        <w:tc>
          <w:tcPr>
            <w:tcW w:w="4575" w:type="dxa"/>
            <w:tcMar>
              <w:top w:type="dxa" w:w="60"/>
              <w:left w:type="dxa" w:w="120"/>
              <w:bottom w:type="dxa" w:w="30"/>
              <w:right w:type="dxa" w:w="120"/>
            </w:tcMar>
          </w:tcPr>
          <w:p>
            <w:pPr>
              <w:spacing w:before="120" w:after="120" w:line="288" w:lineRule="auto"/>
              <w:ind w:left="0"/>
              <w:jc w:val="left"/>
            </w:pPr>
            <w:r>
              <w:rPr>
                <w:rFonts w:eastAsia="等线" w:ascii="Arial" w:cs="Arial" w:hAnsi="Arial"/>
                <w:sz w:val="22"/>
              </w:rPr>
              <w:t>1200</w:t>
            </w:r>
          </w:p>
        </w:tc>
      </w:tr>
      <w:tr>
        <w:tc>
          <w:tcPr>
            <w:tcW w:w="2610" w:type="dxa"/>
            <w:tcMar>
              <w:top w:type="dxa" w:w="60"/>
              <w:left w:type="dxa" w:w="120"/>
              <w:bottom w:type="dxa" w:w="30"/>
              <w:right w:type="dxa" w:w="120"/>
            </w:tcMar>
          </w:tcPr>
          <w:p>
            <w:pPr>
              <w:spacing w:before="120" w:after="120" w:line="288" w:lineRule="auto"/>
              <w:ind w:left="0"/>
              <w:jc w:val="left"/>
            </w:pPr>
            <w:r>
              <w:rPr>
                <w:rFonts w:eastAsia="等线" w:ascii="Arial" w:cs="Arial" w:hAnsi="Arial"/>
                <w:sz w:val="22"/>
              </w:rPr>
              <w:t>Z轴行程</w:t>
            </w:r>
          </w:p>
        </w:tc>
        <w:tc>
          <w:tcPr>
            <w:tcW w:w="1095" w:type="dxa"/>
            <w:tcMar>
              <w:top w:type="dxa" w:w="60"/>
              <w:left w:type="dxa" w:w="120"/>
              <w:bottom w:type="dxa" w:w="30"/>
              <w:right w:type="dxa" w:w="120"/>
            </w:tcMar>
          </w:tcPr>
          <w:p>
            <w:pPr>
              <w:spacing w:before="120" w:after="120" w:line="288" w:lineRule="auto"/>
              <w:ind w:left="0"/>
              <w:jc w:val="left"/>
            </w:pPr>
            <w:r>
              <w:rPr>
                <w:rFonts w:eastAsia="等线" w:ascii="Arial" w:cs="Arial" w:hAnsi="Arial"/>
                <w:sz w:val="22"/>
              </w:rPr>
              <w:t>mm</w:t>
            </w:r>
          </w:p>
        </w:tc>
        <w:tc>
          <w:tcPr>
            <w:tcW w:w="4575" w:type="dxa"/>
            <w:tcMar>
              <w:top w:type="dxa" w:w="60"/>
              <w:left w:type="dxa" w:w="120"/>
              <w:bottom w:type="dxa" w:w="30"/>
              <w:right w:type="dxa" w:w="120"/>
            </w:tcMar>
          </w:tcPr>
          <w:p>
            <w:pPr>
              <w:spacing w:before="120" w:after="120" w:line="288" w:lineRule="auto"/>
              <w:ind w:left="0"/>
              <w:jc w:val="left"/>
            </w:pPr>
            <w:r>
              <w:rPr>
                <w:rFonts w:eastAsia="等线" w:ascii="Arial" w:cs="Arial" w:hAnsi="Arial"/>
                <w:sz w:val="22"/>
              </w:rPr>
              <w:t>150</w:t>
            </w:r>
          </w:p>
        </w:tc>
      </w:tr>
      <w:tr>
        <w:tc>
          <w:tcPr>
            <w:tcW w:w="2610" w:type="dxa"/>
            <w:tcMar>
              <w:top w:type="dxa" w:w="60"/>
              <w:left w:type="dxa" w:w="120"/>
              <w:bottom w:type="dxa" w:w="30"/>
              <w:right w:type="dxa" w:w="120"/>
            </w:tcMar>
          </w:tcPr>
          <w:p>
            <w:pPr>
              <w:spacing w:before="120" w:after="120" w:line="288" w:lineRule="auto"/>
              <w:ind w:left="0"/>
              <w:jc w:val="left"/>
            </w:pPr>
            <w:r>
              <w:rPr>
                <w:rFonts w:eastAsia="等线" w:ascii="Arial" w:cs="Arial" w:hAnsi="Arial"/>
                <w:sz w:val="22"/>
              </w:rPr>
              <w:t>C轴（工件回转轴）</w:t>
            </w:r>
          </w:p>
        </w:tc>
        <w:tc>
          <w:tcPr>
            <w:tcW w:w="1095" w:type="dxa"/>
            <w:tcMar>
              <w:top w:type="dxa" w:w="60"/>
              <w:left w:type="dxa" w:w="120"/>
              <w:bottom w:type="dxa" w:w="30"/>
              <w:right w:type="dxa" w:w="120"/>
            </w:tcMar>
          </w:tcPr>
          <w:p>
            <w:pPr>
              <w:spacing w:before="120" w:after="120" w:line="288" w:lineRule="auto"/>
              <w:ind w:left="0"/>
              <w:jc w:val="left"/>
            </w:pPr>
            <w:r>
              <w:rPr>
                <w:rFonts w:eastAsia="等线" w:ascii="Arial" w:cs="Arial" w:hAnsi="Arial"/>
                <w:sz w:val="22"/>
              </w:rPr>
              <w:t>°</w:t>
            </w:r>
          </w:p>
        </w:tc>
        <w:tc>
          <w:tcPr>
            <w:tcW w:w="4575" w:type="dxa"/>
            <w:tcMar>
              <w:top w:type="dxa" w:w="60"/>
              <w:left w:type="dxa" w:w="120"/>
              <w:bottom w:type="dxa" w:w="30"/>
              <w:right w:type="dxa" w:w="120"/>
            </w:tcMar>
          </w:tcPr>
          <w:p>
            <w:pPr>
              <w:spacing w:before="120" w:after="120" w:line="288" w:lineRule="auto"/>
              <w:ind w:left="0"/>
              <w:jc w:val="left"/>
            </w:pPr>
            <w:r>
              <w:rPr>
                <w:rFonts w:eastAsia="等线" w:ascii="Arial" w:cs="Arial" w:hAnsi="Arial"/>
                <w:sz w:val="22"/>
              </w:rPr>
              <w:t>0~360°连续回转</w:t>
            </w:r>
          </w:p>
        </w:tc>
      </w:tr>
      <w:tr>
        <w:tc>
          <w:tcPr>
            <w:tcW w:w="2610" w:type="dxa"/>
            <w:tcMar>
              <w:top w:type="dxa" w:w="60"/>
              <w:left w:type="dxa" w:w="120"/>
              <w:bottom w:type="dxa" w:w="30"/>
              <w:right w:type="dxa" w:w="120"/>
            </w:tcMar>
          </w:tcPr>
          <w:p>
            <w:pPr>
              <w:spacing w:before="120" w:after="120" w:line="288" w:lineRule="auto"/>
              <w:ind w:left="0"/>
              <w:jc w:val="left"/>
            </w:pPr>
            <w:r>
              <w:rPr>
                <w:rFonts w:eastAsia="等线" w:ascii="Arial" w:cs="Arial" w:hAnsi="Arial"/>
                <w:b w:val="true"/>
                <w:sz w:val="22"/>
              </w:rPr>
              <w:t>气浮工作主轴</w:t>
            </w:r>
          </w:p>
        </w:tc>
        <w:tc>
          <w:tcPr>
            <w:tcW w:w="1095" w:type="dxa"/>
            <w:tcMar>
              <w:top w:type="dxa" w:w="60"/>
              <w:left w:type="dxa" w:w="120"/>
              <w:bottom w:type="dxa" w:w="30"/>
              <w:right w:type="dxa" w:w="120"/>
            </w:tcMar>
          </w:tcPr>
          <w:p>
            <w:pPr>
              <w:spacing w:before="120" w:after="120" w:line="288" w:lineRule="auto"/>
              <w:ind w:left="0"/>
              <w:jc w:val="left"/>
            </w:pPr>
            <w:r>
              <w:rPr>
                <w:rFonts w:eastAsia="等线" w:ascii="Arial" w:cs="Arial" w:hAnsi="Arial"/>
                <w:sz w:val="22"/>
              </w:rPr>
              <w:t>—</w:t>
            </w:r>
          </w:p>
        </w:tc>
        <w:tc>
          <w:tcPr>
            <w:tcW w:w="4575" w:type="dxa"/>
            <w:tcMar>
              <w:top w:type="dxa" w:w="60"/>
              <w:left w:type="dxa" w:w="120"/>
              <w:bottom w:type="dxa" w:w="30"/>
              <w:right w:type="dxa" w:w="120"/>
            </w:tcMar>
          </w:tcPr>
          <w:p>
            <w:pPr>
              <w:spacing w:before="120" w:after="120" w:line="288" w:lineRule="auto"/>
              <w:ind w:left="0"/>
              <w:jc w:val="left"/>
            </w:pPr>
            <w:r>
              <w:rPr>
                <w:rFonts w:eastAsia="等线" w:ascii="Arial" w:cs="Arial" w:hAnsi="Arial"/>
                <w:sz w:val="22"/>
              </w:rPr>
              <w:t>—</w:t>
            </w:r>
          </w:p>
        </w:tc>
      </w:tr>
      <w:tr>
        <w:tc>
          <w:tcPr>
            <w:tcW w:w="2610" w:type="dxa"/>
            <w:tcMar>
              <w:top w:type="dxa" w:w="60"/>
              <w:left w:type="dxa" w:w="120"/>
              <w:bottom w:type="dxa" w:w="30"/>
              <w:right w:type="dxa" w:w="120"/>
            </w:tcMar>
          </w:tcPr>
          <w:p>
            <w:pPr>
              <w:spacing w:before="120" w:after="120" w:line="288" w:lineRule="auto"/>
              <w:ind w:left="0"/>
              <w:jc w:val="left"/>
            </w:pPr>
            <w:r>
              <w:rPr>
                <w:rFonts w:eastAsia="等线" w:ascii="Arial" w:cs="Arial" w:hAnsi="Arial"/>
                <w:sz w:val="22"/>
              </w:rPr>
              <w:t>主轴转速</w:t>
            </w:r>
          </w:p>
        </w:tc>
        <w:tc>
          <w:tcPr>
            <w:tcW w:w="1095" w:type="dxa"/>
            <w:tcMar>
              <w:top w:type="dxa" w:w="60"/>
              <w:left w:type="dxa" w:w="120"/>
              <w:bottom w:type="dxa" w:w="30"/>
              <w:right w:type="dxa" w:w="120"/>
            </w:tcMar>
          </w:tcPr>
          <w:p>
            <w:pPr>
              <w:spacing w:before="120" w:after="120" w:line="288" w:lineRule="auto"/>
              <w:ind w:left="0"/>
              <w:jc w:val="left"/>
            </w:pPr>
            <w:r>
              <w:rPr>
                <w:rFonts w:eastAsia="等线" w:ascii="Arial" w:cs="Arial" w:hAnsi="Arial"/>
                <w:sz w:val="22"/>
              </w:rPr>
              <w:t>rpm</w:t>
            </w:r>
          </w:p>
        </w:tc>
        <w:tc>
          <w:tcPr>
            <w:tcW w:w="4575" w:type="dxa"/>
            <w:tcMar>
              <w:top w:type="dxa" w:w="60"/>
              <w:left w:type="dxa" w:w="120"/>
              <w:bottom w:type="dxa" w:w="30"/>
              <w:right w:type="dxa" w:w="120"/>
            </w:tcMar>
          </w:tcPr>
          <w:p>
            <w:pPr>
              <w:spacing w:before="120" w:after="120" w:line="288" w:lineRule="auto"/>
              <w:ind w:left="0"/>
              <w:jc w:val="left"/>
            </w:pPr>
            <w:r>
              <w:rPr>
                <w:rFonts w:eastAsia="等线" w:ascii="Arial" w:cs="Arial" w:hAnsi="Arial"/>
                <w:sz w:val="22"/>
              </w:rPr>
              <w:t>20~2000</w:t>
            </w:r>
          </w:p>
        </w:tc>
      </w:tr>
      <w:tr>
        <w:tc>
          <w:tcPr>
            <w:tcW w:w="2610" w:type="dxa"/>
            <w:tcMar>
              <w:top w:type="dxa" w:w="60"/>
              <w:left w:type="dxa" w:w="120"/>
              <w:bottom w:type="dxa" w:w="30"/>
              <w:right w:type="dxa" w:w="120"/>
            </w:tcMar>
          </w:tcPr>
          <w:p>
            <w:pPr>
              <w:spacing w:before="120" w:after="120" w:line="288" w:lineRule="auto"/>
              <w:ind w:left="0"/>
              <w:jc w:val="left"/>
            </w:pPr>
            <w:r>
              <w:rPr>
                <w:rFonts w:eastAsia="等线" w:ascii="Arial" w:cs="Arial" w:hAnsi="Arial"/>
                <w:sz w:val="22"/>
              </w:rPr>
              <w:t>主电机功率</w:t>
            </w:r>
          </w:p>
        </w:tc>
        <w:tc>
          <w:tcPr>
            <w:tcW w:w="1095" w:type="dxa"/>
            <w:tcMar>
              <w:top w:type="dxa" w:w="60"/>
              <w:left w:type="dxa" w:w="120"/>
              <w:bottom w:type="dxa" w:w="30"/>
              <w:right w:type="dxa" w:w="120"/>
            </w:tcMar>
          </w:tcPr>
          <w:p>
            <w:pPr>
              <w:spacing w:before="120" w:after="120" w:line="288" w:lineRule="auto"/>
              <w:ind w:left="0"/>
              <w:jc w:val="left"/>
            </w:pPr>
            <w:r>
              <w:rPr>
                <w:rFonts w:eastAsia="等线" w:ascii="Arial" w:cs="Arial" w:hAnsi="Arial"/>
                <w:sz w:val="22"/>
              </w:rPr>
              <w:t>kW</w:t>
            </w:r>
          </w:p>
        </w:tc>
        <w:tc>
          <w:tcPr>
            <w:tcW w:w="4575" w:type="dxa"/>
            <w:tcMar>
              <w:top w:type="dxa" w:w="60"/>
              <w:left w:type="dxa" w:w="120"/>
              <w:bottom w:type="dxa" w:w="30"/>
              <w:right w:type="dxa" w:w="120"/>
            </w:tcMar>
          </w:tcPr>
          <w:p>
            <w:pPr>
              <w:spacing w:before="120" w:after="120" w:line="288" w:lineRule="auto"/>
              <w:ind w:left="0"/>
              <w:jc w:val="left"/>
            </w:pPr>
            <w:r>
              <w:rPr>
                <w:rFonts w:eastAsia="等线" w:ascii="Arial" w:cs="Arial" w:hAnsi="Arial"/>
                <w:sz w:val="22"/>
              </w:rPr>
              <w:t>12</w:t>
            </w:r>
          </w:p>
        </w:tc>
      </w:tr>
      <w:tr>
        <w:tc>
          <w:tcPr>
            <w:tcW w:w="2610" w:type="dxa"/>
            <w:tcMar>
              <w:top w:type="dxa" w:w="60"/>
              <w:left w:type="dxa" w:w="120"/>
              <w:bottom w:type="dxa" w:w="30"/>
              <w:right w:type="dxa" w:w="120"/>
            </w:tcMar>
          </w:tcPr>
          <w:p>
            <w:pPr>
              <w:spacing w:before="120" w:after="120" w:line="288" w:lineRule="auto"/>
              <w:ind w:left="0"/>
              <w:jc w:val="left"/>
            </w:pPr>
            <w:r>
              <w:rPr>
                <w:rFonts w:eastAsia="等线" w:ascii="Arial" w:cs="Arial" w:hAnsi="Arial"/>
                <w:sz w:val="22"/>
              </w:rPr>
              <w:t>使用姿势</w:t>
            </w:r>
          </w:p>
        </w:tc>
        <w:tc>
          <w:tcPr>
            <w:tcW w:w="1095" w:type="dxa"/>
            <w:tcMar>
              <w:top w:type="dxa" w:w="60"/>
              <w:left w:type="dxa" w:w="120"/>
              <w:bottom w:type="dxa" w:w="30"/>
              <w:right w:type="dxa" w:w="120"/>
            </w:tcMar>
          </w:tcPr>
          <w:p>
            <w:pPr>
              <w:spacing w:before="120" w:after="120" w:line="288" w:lineRule="auto"/>
              <w:ind w:left="0"/>
              <w:jc w:val="left"/>
            </w:pPr>
            <w:r>
              <w:rPr>
                <w:rFonts w:eastAsia="等线" w:ascii="Arial" w:cs="Arial" w:hAnsi="Arial"/>
                <w:sz w:val="22"/>
              </w:rPr>
              <w:t>—</w:t>
            </w:r>
          </w:p>
        </w:tc>
        <w:tc>
          <w:tcPr>
            <w:tcW w:w="4575" w:type="dxa"/>
            <w:tcMar>
              <w:top w:type="dxa" w:w="60"/>
              <w:left w:type="dxa" w:w="120"/>
              <w:bottom w:type="dxa" w:w="30"/>
              <w:right w:type="dxa" w:w="120"/>
            </w:tcMar>
          </w:tcPr>
          <w:p>
            <w:pPr>
              <w:spacing w:before="120" w:after="120" w:line="288" w:lineRule="auto"/>
              <w:ind w:left="0"/>
              <w:jc w:val="left"/>
            </w:pPr>
            <w:r>
              <w:rPr>
                <w:rFonts w:eastAsia="等线" w:ascii="Arial" w:cs="Arial" w:hAnsi="Arial"/>
                <w:sz w:val="22"/>
              </w:rPr>
              <w:t>横置</w:t>
            </w:r>
          </w:p>
        </w:tc>
      </w:tr>
      <w:tr>
        <w:tc>
          <w:tcPr>
            <w:tcW w:w="2610" w:type="dxa"/>
            <w:tcMar>
              <w:top w:type="dxa" w:w="60"/>
              <w:left w:type="dxa" w:w="120"/>
              <w:bottom w:type="dxa" w:w="30"/>
              <w:right w:type="dxa" w:w="120"/>
            </w:tcMar>
          </w:tcPr>
          <w:p>
            <w:pPr>
              <w:spacing w:before="120" w:after="120" w:line="288" w:lineRule="auto"/>
              <w:ind w:left="0"/>
              <w:jc w:val="left"/>
            </w:pPr>
            <w:r>
              <w:rPr>
                <w:rFonts w:eastAsia="等线" w:ascii="Arial" w:cs="Arial" w:hAnsi="Arial"/>
                <w:sz w:val="22"/>
              </w:rPr>
              <w:t>冷却方式</w:t>
            </w:r>
          </w:p>
        </w:tc>
        <w:tc>
          <w:tcPr>
            <w:tcW w:w="1095" w:type="dxa"/>
            <w:tcMar>
              <w:top w:type="dxa" w:w="60"/>
              <w:left w:type="dxa" w:w="120"/>
              <w:bottom w:type="dxa" w:w="30"/>
              <w:right w:type="dxa" w:w="120"/>
            </w:tcMar>
          </w:tcPr>
          <w:p>
            <w:pPr>
              <w:spacing w:before="120" w:after="120" w:line="288" w:lineRule="auto"/>
              <w:ind w:left="0"/>
              <w:jc w:val="left"/>
            </w:pPr>
            <w:r>
              <w:rPr>
                <w:rFonts w:eastAsia="等线" w:ascii="Arial" w:cs="Arial" w:hAnsi="Arial"/>
                <w:sz w:val="22"/>
              </w:rPr>
              <w:t>—</w:t>
            </w:r>
          </w:p>
        </w:tc>
        <w:tc>
          <w:tcPr>
            <w:tcW w:w="4575" w:type="dxa"/>
            <w:tcMar>
              <w:top w:type="dxa" w:w="60"/>
              <w:left w:type="dxa" w:w="120"/>
              <w:bottom w:type="dxa" w:w="30"/>
              <w:right w:type="dxa" w:w="120"/>
            </w:tcMar>
          </w:tcPr>
          <w:p>
            <w:pPr>
              <w:spacing w:before="120" w:after="120" w:line="288" w:lineRule="auto"/>
              <w:ind w:left="0"/>
              <w:jc w:val="left"/>
            </w:pPr>
            <w:r>
              <w:rPr>
                <w:rFonts w:eastAsia="等线" w:ascii="Arial" w:cs="Arial" w:hAnsi="Arial"/>
                <w:sz w:val="22"/>
              </w:rPr>
              <w:t>水冷恒温</w:t>
            </w:r>
          </w:p>
        </w:tc>
      </w:tr>
      <w:tr>
        <w:tc>
          <w:tcPr>
            <w:tcW w:w="2610" w:type="dxa"/>
            <w:tcMar>
              <w:top w:type="dxa" w:w="60"/>
              <w:left w:type="dxa" w:w="120"/>
              <w:bottom w:type="dxa" w:w="30"/>
              <w:right w:type="dxa" w:w="120"/>
            </w:tcMar>
          </w:tcPr>
          <w:p>
            <w:pPr>
              <w:spacing w:before="120" w:after="120" w:line="288" w:lineRule="auto"/>
              <w:ind w:left="0"/>
              <w:jc w:val="left"/>
            </w:pPr>
            <w:r>
              <w:rPr>
                <w:rFonts w:eastAsia="等线" w:ascii="Arial" w:cs="Arial" w:hAnsi="Arial"/>
                <w:sz w:val="22"/>
              </w:rPr>
              <w:t>供气气压</w:t>
            </w:r>
          </w:p>
        </w:tc>
        <w:tc>
          <w:tcPr>
            <w:tcW w:w="1095" w:type="dxa"/>
            <w:tcMar>
              <w:top w:type="dxa" w:w="60"/>
              <w:left w:type="dxa" w:w="120"/>
              <w:bottom w:type="dxa" w:w="30"/>
              <w:right w:type="dxa" w:w="120"/>
            </w:tcMar>
          </w:tcPr>
          <w:p>
            <w:pPr>
              <w:spacing w:before="120" w:after="120" w:line="288" w:lineRule="auto"/>
              <w:ind w:left="0"/>
              <w:jc w:val="left"/>
            </w:pPr>
            <w:r>
              <w:rPr>
                <w:rFonts w:eastAsia="等线" w:ascii="Arial" w:cs="Arial" w:hAnsi="Arial"/>
                <w:sz w:val="22"/>
              </w:rPr>
              <w:t>MPa</w:t>
            </w:r>
          </w:p>
        </w:tc>
        <w:tc>
          <w:tcPr>
            <w:tcW w:w="4575" w:type="dxa"/>
            <w:tcMar>
              <w:top w:type="dxa" w:w="60"/>
              <w:left w:type="dxa" w:w="120"/>
              <w:bottom w:type="dxa" w:w="30"/>
              <w:right w:type="dxa" w:w="120"/>
            </w:tcMar>
          </w:tcPr>
          <w:p>
            <w:pPr>
              <w:spacing w:before="120" w:after="120" w:line="288" w:lineRule="auto"/>
              <w:ind w:left="0"/>
              <w:jc w:val="left"/>
            </w:pPr>
            <w:r>
              <w:rPr>
                <w:rFonts w:eastAsia="等线" w:ascii="Arial" w:cs="Arial" w:hAnsi="Arial"/>
                <w:sz w:val="22"/>
              </w:rPr>
              <w:t>0.4~0.6</w:t>
            </w:r>
          </w:p>
        </w:tc>
      </w:tr>
      <w:tr>
        <w:tc>
          <w:tcPr>
            <w:tcW w:w="2610" w:type="dxa"/>
            <w:tcMar>
              <w:top w:type="dxa" w:w="60"/>
              <w:left w:type="dxa" w:w="120"/>
              <w:bottom w:type="dxa" w:w="30"/>
              <w:right w:type="dxa" w:w="120"/>
            </w:tcMar>
          </w:tcPr>
          <w:p>
            <w:pPr>
              <w:spacing w:before="120" w:after="120" w:line="288" w:lineRule="auto"/>
              <w:ind w:left="0"/>
              <w:jc w:val="left"/>
            </w:pPr>
            <w:r>
              <w:rPr>
                <w:rFonts w:eastAsia="等线" w:ascii="Arial" w:cs="Arial" w:hAnsi="Arial"/>
                <w:sz w:val="22"/>
              </w:rPr>
              <w:t>编码器角度分辨率</w:t>
            </w:r>
          </w:p>
        </w:tc>
        <w:tc>
          <w:tcPr>
            <w:tcW w:w="1095" w:type="dxa"/>
            <w:tcMar>
              <w:top w:type="dxa" w:w="60"/>
              <w:left w:type="dxa" w:w="120"/>
              <w:bottom w:type="dxa" w:w="30"/>
              <w:right w:type="dxa" w:w="120"/>
            </w:tcMar>
          </w:tcPr>
          <w:p>
            <w:pPr>
              <w:spacing w:before="120" w:after="120" w:line="288" w:lineRule="auto"/>
              <w:ind w:left="0"/>
              <w:jc w:val="left"/>
            </w:pPr>
            <w:r>
              <w:rPr>
                <w:rFonts w:eastAsia="等线" w:ascii="Arial" w:cs="Arial" w:hAnsi="Arial"/>
                <w:sz w:val="22"/>
              </w:rPr>
              <w:t>°</w:t>
            </w:r>
          </w:p>
        </w:tc>
        <w:tc>
          <w:tcPr>
            <w:tcW w:w="4575" w:type="dxa"/>
            <w:tcMar>
              <w:top w:type="dxa" w:w="60"/>
              <w:left w:type="dxa" w:w="120"/>
              <w:bottom w:type="dxa" w:w="30"/>
              <w:right w:type="dxa" w:w="120"/>
            </w:tcMar>
          </w:tcPr>
          <w:p>
            <w:pPr>
              <w:spacing w:before="120" w:after="120" w:line="288" w:lineRule="auto"/>
              <w:ind w:left="0"/>
              <w:jc w:val="left"/>
            </w:pPr>
            <w:r>
              <w:rPr>
                <w:rFonts w:eastAsia="等线" w:ascii="Arial" w:cs="Arial" w:hAnsi="Arial"/>
                <w:sz w:val="22"/>
              </w:rPr>
              <w:t>0.00001</w:t>
            </w:r>
          </w:p>
        </w:tc>
      </w:tr>
      <w:tr>
        <w:tc>
          <w:tcPr>
            <w:tcW w:w="2610" w:type="dxa"/>
            <w:tcMar>
              <w:top w:type="dxa" w:w="60"/>
              <w:left w:type="dxa" w:w="120"/>
              <w:bottom w:type="dxa" w:w="30"/>
              <w:right w:type="dxa" w:w="120"/>
            </w:tcMar>
          </w:tcPr>
          <w:p>
            <w:pPr>
              <w:spacing w:before="120" w:after="120" w:line="288" w:lineRule="auto"/>
              <w:ind w:left="0"/>
              <w:jc w:val="left"/>
            </w:pPr>
            <w:r>
              <w:rPr>
                <w:rFonts w:eastAsia="等线" w:ascii="Arial" w:cs="Arial" w:hAnsi="Arial"/>
                <w:sz w:val="22"/>
              </w:rPr>
              <w:t>最大加工工件外径</w:t>
            </w:r>
          </w:p>
        </w:tc>
        <w:tc>
          <w:tcPr>
            <w:tcW w:w="1095" w:type="dxa"/>
            <w:tcMar>
              <w:top w:type="dxa" w:w="60"/>
              <w:left w:type="dxa" w:w="120"/>
              <w:bottom w:type="dxa" w:w="30"/>
              <w:right w:type="dxa" w:w="120"/>
            </w:tcMar>
          </w:tcPr>
          <w:p>
            <w:pPr>
              <w:spacing w:before="120" w:after="120" w:line="288" w:lineRule="auto"/>
              <w:ind w:left="0"/>
              <w:jc w:val="left"/>
            </w:pPr>
            <w:r>
              <w:rPr>
                <w:rFonts w:eastAsia="等线" w:ascii="Arial" w:cs="Arial" w:hAnsi="Arial"/>
                <w:sz w:val="22"/>
              </w:rPr>
              <w:t>mm</w:t>
            </w:r>
          </w:p>
        </w:tc>
        <w:tc>
          <w:tcPr>
            <w:tcW w:w="4575" w:type="dxa"/>
            <w:tcMar>
              <w:top w:type="dxa" w:w="60"/>
              <w:left w:type="dxa" w:w="120"/>
              <w:bottom w:type="dxa" w:w="30"/>
              <w:right w:type="dxa" w:w="120"/>
            </w:tcMar>
          </w:tcPr>
          <w:p>
            <w:pPr>
              <w:spacing w:before="120" w:after="120" w:line="288" w:lineRule="auto"/>
              <w:ind w:left="0"/>
              <w:jc w:val="left"/>
            </w:pPr>
            <w:r>
              <w:rPr>
                <w:rFonts w:eastAsia="等线" w:ascii="Arial" w:cs="Arial" w:hAnsi="Arial"/>
                <w:sz w:val="22"/>
              </w:rPr>
              <w:t>400</w:t>
            </w:r>
          </w:p>
        </w:tc>
      </w:tr>
      <w:tr>
        <w:tc>
          <w:tcPr>
            <w:tcW w:w="2610" w:type="dxa"/>
            <w:tcMar>
              <w:top w:type="dxa" w:w="60"/>
              <w:left w:type="dxa" w:w="120"/>
              <w:bottom w:type="dxa" w:w="30"/>
              <w:right w:type="dxa" w:w="120"/>
            </w:tcMar>
          </w:tcPr>
          <w:p>
            <w:pPr>
              <w:spacing w:before="120" w:after="120" w:line="288" w:lineRule="auto"/>
              <w:ind w:left="0"/>
              <w:jc w:val="left"/>
            </w:pPr>
            <w:r>
              <w:rPr>
                <w:rFonts w:eastAsia="等线" w:ascii="Arial" w:cs="Arial" w:hAnsi="Arial"/>
                <w:sz w:val="22"/>
              </w:rPr>
              <w:t>主轴回转精度</w:t>
            </w:r>
          </w:p>
        </w:tc>
        <w:tc>
          <w:tcPr>
            <w:tcW w:w="1095" w:type="dxa"/>
            <w:tcMar>
              <w:top w:type="dxa" w:w="60"/>
              <w:left w:type="dxa" w:w="120"/>
              <w:bottom w:type="dxa" w:w="30"/>
              <w:right w:type="dxa" w:w="120"/>
            </w:tcMar>
          </w:tcPr>
          <w:p>
            <w:pPr>
              <w:spacing w:before="120" w:after="120" w:line="288" w:lineRule="auto"/>
              <w:ind w:left="0"/>
              <w:jc w:val="left"/>
            </w:pPr>
            <w:r>
              <w:rPr>
                <w:rFonts w:eastAsia="等线" w:ascii="Arial" w:cs="Arial" w:hAnsi="Arial"/>
                <w:sz w:val="22"/>
              </w:rPr>
              <w:t>nm</w:t>
            </w:r>
          </w:p>
        </w:tc>
        <w:tc>
          <w:tcPr>
            <w:tcW w:w="4575" w:type="dxa"/>
            <w:tcMar>
              <w:top w:type="dxa" w:w="60"/>
              <w:left w:type="dxa" w:w="120"/>
              <w:bottom w:type="dxa" w:w="30"/>
              <w:right w:type="dxa" w:w="120"/>
            </w:tcMar>
          </w:tcPr>
          <w:p>
            <w:pPr>
              <w:spacing w:before="120" w:after="120" w:line="288" w:lineRule="auto"/>
              <w:ind w:left="0"/>
              <w:jc w:val="left"/>
            </w:pPr>
            <w:r>
              <w:rPr>
                <w:rFonts w:eastAsia="等线" w:ascii="Arial" w:cs="Arial" w:hAnsi="Arial"/>
                <w:sz w:val="22"/>
              </w:rPr>
              <w:t>20~40</w:t>
            </w:r>
          </w:p>
        </w:tc>
      </w:tr>
      <w:tr>
        <w:tc>
          <w:tcPr>
            <w:tcW w:w="2610" w:type="dxa"/>
            <w:tcMar>
              <w:top w:type="dxa" w:w="60"/>
              <w:left w:type="dxa" w:w="120"/>
              <w:bottom w:type="dxa" w:w="30"/>
              <w:right w:type="dxa" w:w="120"/>
            </w:tcMar>
          </w:tcPr>
          <w:p>
            <w:pPr>
              <w:spacing w:before="120" w:after="120" w:line="288" w:lineRule="auto"/>
              <w:ind w:left="0"/>
              <w:jc w:val="left"/>
            </w:pPr>
            <w:r>
              <w:rPr>
                <w:rFonts w:eastAsia="等线" w:ascii="Arial" w:cs="Arial" w:hAnsi="Arial"/>
                <w:sz w:val="22"/>
              </w:rPr>
              <w:t>空气消耗流量</w:t>
            </w:r>
          </w:p>
        </w:tc>
        <w:tc>
          <w:tcPr>
            <w:tcW w:w="1095" w:type="dxa"/>
            <w:tcMar>
              <w:top w:type="dxa" w:w="60"/>
              <w:left w:type="dxa" w:w="120"/>
              <w:bottom w:type="dxa" w:w="30"/>
              <w:right w:type="dxa" w:w="120"/>
            </w:tcMar>
          </w:tcPr>
          <w:p>
            <w:pPr>
              <w:spacing w:before="120" w:after="120" w:line="288" w:lineRule="auto"/>
              <w:ind w:left="0"/>
              <w:jc w:val="left"/>
            </w:pPr>
            <w:r>
              <w:rPr>
                <w:rFonts w:eastAsia="等线" w:ascii="Arial" w:cs="Arial" w:hAnsi="Arial"/>
                <w:sz w:val="22"/>
              </w:rPr>
              <w:t>L/min</w:t>
            </w:r>
          </w:p>
        </w:tc>
        <w:tc>
          <w:tcPr>
            <w:tcW w:w="4575" w:type="dxa"/>
            <w:tcMar>
              <w:top w:type="dxa" w:w="60"/>
              <w:left w:type="dxa" w:w="120"/>
              <w:bottom w:type="dxa" w:w="30"/>
              <w:right w:type="dxa" w:w="120"/>
            </w:tcMar>
          </w:tcPr>
          <w:p>
            <w:pPr>
              <w:spacing w:before="120" w:after="120" w:line="288" w:lineRule="auto"/>
              <w:ind w:left="0"/>
              <w:jc w:val="left"/>
            </w:pPr>
            <w:r>
              <w:rPr>
                <w:rFonts w:eastAsia="等线" w:ascii="Arial" w:cs="Arial" w:hAnsi="Arial"/>
                <w:sz w:val="22"/>
              </w:rPr>
              <w:t>45~65</w:t>
            </w:r>
          </w:p>
        </w:tc>
      </w:tr>
      <w:tr>
        <w:tc>
          <w:tcPr>
            <w:tcW w:w="2610" w:type="dxa"/>
            <w:tcMar>
              <w:top w:type="dxa" w:w="60"/>
              <w:left w:type="dxa" w:w="120"/>
              <w:bottom w:type="dxa" w:w="30"/>
              <w:right w:type="dxa" w:w="120"/>
            </w:tcMar>
          </w:tcPr>
          <w:p>
            <w:pPr>
              <w:spacing w:before="120" w:after="120" w:line="288" w:lineRule="auto"/>
              <w:ind w:left="0"/>
              <w:jc w:val="left"/>
            </w:pPr>
            <w:r>
              <w:rPr>
                <w:rFonts w:eastAsia="等线" w:ascii="Arial" w:cs="Arial" w:hAnsi="Arial"/>
                <w:b w:val="true"/>
                <w:sz w:val="22"/>
              </w:rPr>
              <w:t>进给与分辨率</w:t>
            </w:r>
          </w:p>
        </w:tc>
        <w:tc>
          <w:tcPr>
            <w:tcW w:w="1095" w:type="dxa"/>
            <w:tcMar>
              <w:top w:type="dxa" w:w="60"/>
              <w:left w:type="dxa" w:w="120"/>
              <w:bottom w:type="dxa" w:w="30"/>
              <w:right w:type="dxa" w:w="120"/>
            </w:tcMar>
          </w:tcPr>
          <w:p>
            <w:pPr>
              <w:spacing w:before="120" w:after="120" w:line="288" w:lineRule="auto"/>
              <w:ind w:left="0"/>
              <w:jc w:val="left"/>
            </w:pPr>
            <w:r>
              <w:rPr>
                <w:rFonts w:eastAsia="等线" w:ascii="Arial" w:cs="Arial" w:hAnsi="Arial"/>
                <w:sz w:val="22"/>
              </w:rPr>
              <w:t>—</w:t>
            </w:r>
          </w:p>
        </w:tc>
        <w:tc>
          <w:tcPr>
            <w:tcW w:w="4575" w:type="dxa"/>
            <w:tcMar>
              <w:top w:type="dxa" w:w="60"/>
              <w:left w:type="dxa" w:w="120"/>
              <w:bottom w:type="dxa" w:w="30"/>
              <w:right w:type="dxa" w:w="120"/>
            </w:tcMar>
          </w:tcPr>
          <w:p>
            <w:pPr>
              <w:spacing w:before="120" w:after="120" w:line="288" w:lineRule="auto"/>
              <w:ind w:left="0"/>
              <w:jc w:val="left"/>
            </w:pPr>
            <w:r>
              <w:rPr>
                <w:rFonts w:eastAsia="等线" w:ascii="Arial" w:cs="Arial" w:hAnsi="Arial"/>
                <w:sz w:val="22"/>
              </w:rPr>
              <w:t>—</w:t>
            </w:r>
          </w:p>
        </w:tc>
      </w:tr>
      <w:tr>
        <w:tc>
          <w:tcPr>
            <w:tcW w:w="2610" w:type="dxa"/>
            <w:tcMar>
              <w:top w:type="dxa" w:w="60"/>
              <w:left w:type="dxa" w:w="120"/>
              <w:bottom w:type="dxa" w:w="30"/>
              <w:right w:type="dxa" w:w="120"/>
            </w:tcMar>
          </w:tcPr>
          <w:p>
            <w:pPr>
              <w:spacing w:before="120" w:after="120" w:line="288" w:lineRule="auto"/>
              <w:ind w:left="0"/>
              <w:jc w:val="left"/>
            </w:pPr>
            <w:r>
              <w:rPr>
                <w:rFonts w:eastAsia="等线" w:ascii="Arial" w:cs="Arial" w:hAnsi="Arial"/>
                <w:sz w:val="22"/>
              </w:rPr>
              <w:t>X轴重复定位精度</w:t>
            </w:r>
          </w:p>
        </w:tc>
        <w:tc>
          <w:tcPr>
            <w:tcW w:w="1095" w:type="dxa"/>
            <w:tcMar>
              <w:top w:type="dxa" w:w="60"/>
              <w:left w:type="dxa" w:w="120"/>
              <w:bottom w:type="dxa" w:w="30"/>
              <w:right w:type="dxa" w:w="120"/>
            </w:tcMar>
          </w:tcPr>
          <w:p>
            <w:pPr>
              <w:spacing w:before="120" w:after="120" w:line="288" w:lineRule="auto"/>
              <w:ind w:left="0"/>
              <w:jc w:val="left"/>
            </w:pPr>
            <w:r>
              <w:rPr>
                <w:rFonts w:eastAsia="等线" w:ascii="Arial" w:cs="Arial" w:hAnsi="Arial"/>
                <w:sz w:val="22"/>
              </w:rPr>
              <w:t>mm</w:t>
            </w:r>
          </w:p>
        </w:tc>
        <w:tc>
          <w:tcPr>
            <w:tcW w:w="4575" w:type="dxa"/>
            <w:tcMar>
              <w:top w:type="dxa" w:w="60"/>
              <w:left w:type="dxa" w:w="120"/>
              <w:bottom w:type="dxa" w:w="30"/>
              <w:right w:type="dxa" w:w="120"/>
            </w:tcMar>
          </w:tcPr>
          <w:p>
            <w:pPr>
              <w:spacing w:before="120" w:after="120" w:line="288" w:lineRule="auto"/>
              <w:ind w:left="0"/>
              <w:jc w:val="left"/>
            </w:pPr>
            <w:r>
              <w:rPr>
                <w:rFonts w:eastAsia="等线" w:ascii="Arial" w:cs="Arial" w:hAnsi="Arial"/>
                <w:sz w:val="22"/>
              </w:rPr>
              <w:t>±0.3μm/1000mm</w:t>
            </w:r>
          </w:p>
        </w:tc>
      </w:tr>
      <w:tr>
        <w:tc>
          <w:tcPr>
            <w:tcW w:w="2610" w:type="dxa"/>
            <w:tcMar>
              <w:top w:type="dxa" w:w="60"/>
              <w:left w:type="dxa" w:w="120"/>
              <w:bottom w:type="dxa" w:w="30"/>
              <w:right w:type="dxa" w:w="120"/>
            </w:tcMar>
          </w:tcPr>
          <w:p>
            <w:pPr>
              <w:spacing w:before="120" w:after="120" w:line="288" w:lineRule="auto"/>
              <w:ind w:left="0"/>
              <w:jc w:val="left"/>
            </w:pPr>
            <w:r>
              <w:rPr>
                <w:rFonts w:eastAsia="等线" w:ascii="Arial" w:cs="Arial" w:hAnsi="Arial"/>
                <w:sz w:val="22"/>
              </w:rPr>
              <w:t>X轴定位精度</w:t>
            </w:r>
          </w:p>
        </w:tc>
        <w:tc>
          <w:tcPr>
            <w:tcW w:w="1095" w:type="dxa"/>
            <w:tcMar>
              <w:top w:type="dxa" w:w="60"/>
              <w:left w:type="dxa" w:w="120"/>
              <w:bottom w:type="dxa" w:w="30"/>
              <w:right w:type="dxa" w:w="120"/>
            </w:tcMar>
          </w:tcPr>
          <w:p>
            <w:pPr>
              <w:spacing w:before="120" w:after="120" w:line="288" w:lineRule="auto"/>
              <w:ind w:left="0"/>
              <w:jc w:val="left"/>
            </w:pPr>
            <w:r>
              <w:rPr>
                <w:rFonts w:eastAsia="等线" w:ascii="Arial" w:cs="Arial" w:hAnsi="Arial"/>
                <w:sz w:val="22"/>
              </w:rPr>
              <w:t>mm</w:t>
            </w:r>
          </w:p>
        </w:tc>
        <w:tc>
          <w:tcPr>
            <w:tcW w:w="4575" w:type="dxa"/>
            <w:tcMar>
              <w:top w:type="dxa" w:w="60"/>
              <w:left w:type="dxa" w:w="120"/>
              <w:bottom w:type="dxa" w:w="30"/>
              <w:right w:type="dxa" w:w="120"/>
            </w:tcMar>
          </w:tcPr>
          <w:p>
            <w:pPr>
              <w:spacing w:before="120" w:after="120" w:line="288" w:lineRule="auto"/>
              <w:ind w:left="0"/>
              <w:jc w:val="left"/>
            </w:pPr>
            <w:r>
              <w:rPr>
                <w:rFonts w:eastAsia="等线" w:ascii="Arial" w:cs="Arial" w:hAnsi="Arial"/>
                <w:sz w:val="22"/>
              </w:rPr>
              <w:t>±0.4μm/1000mm</w:t>
            </w:r>
          </w:p>
        </w:tc>
      </w:tr>
      <w:tr>
        <w:tc>
          <w:tcPr>
            <w:tcW w:w="2610" w:type="dxa"/>
            <w:tcMar>
              <w:top w:type="dxa" w:w="60"/>
              <w:left w:type="dxa" w:w="120"/>
              <w:bottom w:type="dxa" w:w="30"/>
              <w:right w:type="dxa" w:w="120"/>
            </w:tcMar>
          </w:tcPr>
          <w:p>
            <w:pPr>
              <w:spacing w:before="120" w:after="120" w:line="288" w:lineRule="auto"/>
              <w:ind w:left="0"/>
              <w:jc w:val="left"/>
            </w:pPr>
            <w:r>
              <w:rPr>
                <w:rFonts w:eastAsia="等线" w:ascii="Arial" w:cs="Arial" w:hAnsi="Arial"/>
                <w:sz w:val="22"/>
              </w:rPr>
              <w:t>Z轴定位精度</w:t>
            </w:r>
          </w:p>
        </w:tc>
        <w:tc>
          <w:tcPr>
            <w:tcW w:w="1095" w:type="dxa"/>
            <w:tcMar>
              <w:top w:type="dxa" w:w="60"/>
              <w:left w:type="dxa" w:w="120"/>
              <w:bottom w:type="dxa" w:w="30"/>
              <w:right w:type="dxa" w:w="120"/>
            </w:tcMar>
          </w:tcPr>
          <w:p>
            <w:pPr>
              <w:spacing w:before="120" w:after="120" w:line="288" w:lineRule="auto"/>
              <w:ind w:left="0"/>
              <w:jc w:val="left"/>
            </w:pPr>
            <w:r>
              <w:rPr>
                <w:rFonts w:eastAsia="等线" w:ascii="Arial" w:cs="Arial" w:hAnsi="Arial"/>
                <w:sz w:val="22"/>
              </w:rPr>
              <w:t>mm</w:t>
            </w:r>
          </w:p>
        </w:tc>
        <w:tc>
          <w:tcPr>
            <w:tcW w:w="4575" w:type="dxa"/>
            <w:tcMar>
              <w:top w:type="dxa" w:w="60"/>
              <w:left w:type="dxa" w:w="120"/>
              <w:bottom w:type="dxa" w:w="30"/>
              <w:right w:type="dxa" w:w="120"/>
            </w:tcMar>
          </w:tcPr>
          <w:p>
            <w:pPr>
              <w:spacing w:before="120" w:after="120" w:line="288" w:lineRule="auto"/>
              <w:ind w:left="0"/>
              <w:jc w:val="left"/>
            </w:pPr>
            <w:r>
              <w:rPr>
                <w:rFonts w:eastAsia="等线" w:ascii="Arial" w:cs="Arial" w:hAnsi="Arial"/>
                <w:sz w:val="22"/>
              </w:rPr>
              <w:t>±1.5μm/150mm</w:t>
            </w:r>
          </w:p>
        </w:tc>
      </w:tr>
      <w:tr>
        <w:tc>
          <w:tcPr>
            <w:tcW w:w="2610" w:type="dxa"/>
            <w:tcMar>
              <w:top w:type="dxa" w:w="60"/>
              <w:left w:type="dxa" w:w="120"/>
              <w:bottom w:type="dxa" w:w="30"/>
              <w:right w:type="dxa" w:w="120"/>
            </w:tcMar>
          </w:tcPr>
          <w:p>
            <w:pPr>
              <w:spacing w:before="120" w:after="120" w:line="288" w:lineRule="auto"/>
              <w:ind w:left="0"/>
              <w:jc w:val="left"/>
            </w:pPr>
            <w:r>
              <w:rPr>
                <w:rFonts w:eastAsia="等线" w:ascii="Arial" w:cs="Arial" w:hAnsi="Arial"/>
                <w:sz w:val="22"/>
              </w:rPr>
              <w:t>C轴角度定位精度</w:t>
            </w:r>
          </w:p>
        </w:tc>
        <w:tc>
          <w:tcPr>
            <w:tcW w:w="1095" w:type="dxa"/>
            <w:tcMar>
              <w:top w:type="dxa" w:w="60"/>
              <w:left w:type="dxa" w:w="120"/>
              <w:bottom w:type="dxa" w:w="30"/>
              <w:right w:type="dxa" w:w="120"/>
            </w:tcMar>
          </w:tcPr>
          <w:p>
            <w:pPr>
              <w:spacing w:before="120" w:after="120" w:line="288" w:lineRule="auto"/>
              <w:ind w:left="0"/>
              <w:jc w:val="left"/>
            </w:pPr>
            <w:r>
              <w:rPr>
                <w:rFonts w:eastAsia="等线" w:ascii="Arial" w:cs="Arial" w:hAnsi="Arial"/>
                <w:sz w:val="22"/>
              </w:rPr>
              <w:t>″</w:t>
            </w:r>
          </w:p>
        </w:tc>
        <w:tc>
          <w:tcPr>
            <w:tcW w:w="4575" w:type="dxa"/>
            <w:tcMar>
              <w:top w:type="dxa" w:w="60"/>
              <w:left w:type="dxa" w:w="120"/>
              <w:bottom w:type="dxa" w:w="30"/>
              <w:right w:type="dxa" w:w="120"/>
            </w:tcMar>
          </w:tcPr>
          <w:p>
            <w:pPr>
              <w:spacing w:before="120" w:after="120" w:line="288" w:lineRule="auto"/>
              <w:ind w:left="0"/>
              <w:jc w:val="left"/>
            </w:pPr>
            <w:r>
              <w:rPr>
                <w:rFonts w:eastAsia="等线" w:ascii="Arial" w:cs="Arial" w:hAnsi="Arial"/>
                <w:sz w:val="22"/>
              </w:rPr>
              <w:t>±2</w:t>
            </w:r>
          </w:p>
        </w:tc>
      </w:tr>
      <w:tr>
        <w:tc>
          <w:tcPr>
            <w:tcW w:w="2610" w:type="dxa"/>
            <w:tcMar>
              <w:top w:type="dxa" w:w="60"/>
              <w:left w:type="dxa" w:w="120"/>
              <w:bottom w:type="dxa" w:w="30"/>
              <w:right w:type="dxa" w:w="120"/>
            </w:tcMar>
          </w:tcPr>
          <w:p>
            <w:pPr>
              <w:spacing w:before="120" w:after="120" w:line="288" w:lineRule="auto"/>
              <w:ind w:left="0"/>
              <w:jc w:val="left"/>
            </w:pPr>
            <w:r>
              <w:rPr>
                <w:rFonts w:eastAsia="等线" w:ascii="Arial" w:cs="Arial" w:hAnsi="Arial"/>
                <w:sz w:val="22"/>
              </w:rPr>
              <w:t>C轴角度重复定位精度</w:t>
            </w:r>
          </w:p>
        </w:tc>
        <w:tc>
          <w:tcPr>
            <w:tcW w:w="1095" w:type="dxa"/>
            <w:tcMar>
              <w:top w:type="dxa" w:w="60"/>
              <w:left w:type="dxa" w:w="120"/>
              <w:bottom w:type="dxa" w:w="30"/>
              <w:right w:type="dxa" w:w="120"/>
            </w:tcMar>
          </w:tcPr>
          <w:p>
            <w:pPr>
              <w:spacing w:before="120" w:after="120" w:line="288" w:lineRule="auto"/>
              <w:ind w:left="0"/>
              <w:jc w:val="left"/>
            </w:pPr>
            <w:r>
              <w:rPr>
                <w:rFonts w:eastAsia="等线" w:ascii="Arial" w:cs="Arial" w:hAnsi="Arial"/>
                <w:sz w:val="22"/>
              </w:rPr>
              <w:t>″</w:t>
            </w:r>
          </w:p>
        </w:tc>
        <w:tc>
          <w:tcPr>
            <w:tcW w:w="4575" w:type="dxa"/>
            <w:tcMar>
              <w:top w:type="dxa" w:w="60"/>
              <w:left w:type="dxa" w:w="120"/>
              <w:bottom w:type="dxa" w:w="30"/>
              <w:right w:type="dxa" w:w="120"/>
            </w:tcMar>
          </w:tcPr>
          <w:p>
            <w:pPr>
              <w:spacing w:before="120" w:after="120" w:line="288" w:lineRule="auto"/>
              <w:ind w:left="0"/>
              <w:jc w:val="left"/>
            </w:pPr>
            <w:r>
              <w:rPr>
                <w:rFonts w:eastAsia="等线" w:ascii="Arial" w:cs="Arial" w:hAnsi="Arial"/>
                <w:sz w:val="22"/>
              </w:rPr>
              <w:t>±1</w:t>
            </w:r>
          </w:p>
        </w:tc>
      </w:tr>
      <w:tr>
        <w:tc>
          <w:tcPr>
            <w:tcW w:w="2610" w:type="dxa"/>
            <w:tcMar>
              <w:top w:type="dxa" w:w="60"/>
              <w:left w:type="dxa" w:w="120"/>
              <w:bottom w:type="dxa" w:w="30"/>
              <w:right w:type="dxa" w:w="120"/>
            </w:tcMar>
          </w:tcPr>
          <w:p>
            <w:pPr>
              <w:spacing w:before="120" w:after="120" w:line="288" w:lineRule="auto"/>
              <w:ind w:left="0"/>
              <w:jc w:val="left"/>
            </w:pPr>
            <w:r>
              <w:rPr>
                <w:rFonts w:eastAsia="等线" w:ascii="Arial" w:cs="Arial" w:hAnsi="Arial"/>
                <w:sz w:val="22"/>
              </w:rPr>
              <w:t>X轴快速进给</w:t>
            </w:r>
          </w:p>
        </w:tc>
        <w:tc>
          <w:tcPr>
            <w:tcW w:w="1095" w:type="dxa"/>
            <w:tcMar>
              <w:top w:type="dxa" w:w="60"/>
              <w:left w:type="dxa" w:w="120"/>
              <w:bottom w:type="dxa" w:w="30"/>
              <w:right w:type="dxa" w:w="120"/>
            </w:tcMar>
          </w:tcPr>
          <w:p>
            <w:pPr>
              <w:spacing w:before="120" w:after="120" w:line="288" w:lineRule="auto"/>
              <w:ind w:left="0"/>
              <w:jc w:val="left"/>
            </w:pPr>
            <w:r>
              <w:rPr>
                <w:rFonts w:eastAsia="等线" w:ascii="Arial" w:cs="Arial" w:hAnsi="Arial"/>
                <w:sz w:val="22"/>
              </w:rPr>
              <w:t>mm/min</w:t>
            </w:r>
          </w:p>
        </w:tc>
        <w:tc>
          <w:tcPr>
            <w:tcW w:w="4575" w:type="dxa"/>
            <w:tcMar>
              <w:top w:type="dxa" w:w="60"/>
              <w:left w:type="dxa" w:w="120"/>
              <w:bottom w:type="dxa" w:w="30"/>
              <w:right w:type="dxa" w:w="120"/>
            </w:tcMar>
          </w:tcPr>
          <w:p>
            <w:pPr>
              <w:spacing w:before="120" w:after="120" w:line="288" w:lineRule="auto"/>
              <w:ind w:left="0"/>
              <w:jc w:val="left"/>
            </w:pPr>
            <w:r>
              <w:rPr>
                <w:rFonts w:eastAsia="等线" w:ascii="Arial" w:cs="Arial" w:hAnsi="Arial"/>
                <w:sz w:val="22"/>
              </w:rPr>
              <w:t>40</w:t>
            </w:r>
          </w:p>
        </w:tc>
      </w:tr>
      <w:tr>
        <w:tc>
          <w:tcPr>
            <w:tcW w:w="2610" w:type="dxa"/>
            <w:tcMar>
              <w:top w:type="dxa" w:w="60"/>
              <w:left w:type="dxa" w:w="120"/>
              <w:bottom w:type="dxa" w:w="30"/>
              <w:right w:type="dxa" w:w="120"/>
            </w:tcMar>
          </w:tcPr>
          <w:p>
            <w:pPr>
              <w:spacing w:before="120" w:after="120" w:line="288" w:lineRule="auto"/>
              <w:ind w:left="0"/>
              <w:jc w:val="left"/>
            </w:pPr>
            <w:r>
              <w:rPr>
                <w:rFonts w:eastAsia="等线" w:ascii="Arial" w:cs="Arial" w:hAnsi="Arial"/>
                <w:sz w:val="22"/>
              </w:rPr>
              <w:t>Z轴快速进给</w:t>
            </w:r>
          </w:p>
        </w:tc>
        <w:tc>
          <w:tcPr>
            <w:tcW w:w="1095" w:type="dxa"/>
            <w:tcMar>
              <w:top w:type="dxa" w:w="60"/>
              <w:left w:type="dxa" w:w="120"/>
              <w:bottom w:type="dxa" w:w="30"/>
              <w:right w:type="dxa" w:w="120"/>
            </w:tcMar>
          </w:tcPr>
          <w:p>
            <w:pPr>
              <w:spacing w:before="120" w:after="120" w:line="288" w:lineRule="auto"/>
              <w:ind w:left="0"/>
              <w:jc w:val="left"/>
            </w:pPr>
            <w:r>
              <w:rPr>
                <w:rFonts w:eastAsia="等线" w:ascii="Arial" w:cs="Arial" w:hAnsi="Arial"/>
                <w:sz w:val="22"/>
              </w:rPr>
              <w:t>mm/min</w:t>
            </w:r>
          </w:p>
        </w:tc>
        <w:tc>
          <w:tcPr>
            <w:tcW w:w="4575" w:type="dxa"/>
            <w:tcMar>
              <w:top w:type="dxa" w:w="60"/>
              <w:left w:type="dxa" w:w="120"/>
              <w:bottom w:type="dxa" w:w="30"/>
              <w:right w:type="dxa" w:w="120"/>
            </w:tcMar>
          </w:tcPr>
          <w:p>
            <w:pPr>
              <w:spacing w:before="120" w:after="120" w:line="288" w:lineRule="auto"/>
              <w:ind w:left="0"/>
              <w:jc w:val="left"/>
            </w:pPr>
            <w:r>
              <w:rPr>
                <w:rFonts w:eastAsia="等线" w:ascii="Arial" w:cs="Arial" w:hAnsi="Arial"/>
                <w:sz w:val="22"/>
              </w:rPr>
              <w:t>30</w:t>
            </w:r>
          </w:p>
        </w:tc>
      </w:tr>
      <w:tr>
        <w:tc>
          <w:tcPr>
            <w:tcW w:w="2610" w:type="dxa"/>
            <w:tcMar>
              <w:top w:type="dxa" w:w="60"/>
              <w:left w:type="dxa" w:w="120"/>
              <w:bottom w:type="dxa" w:w="30"/>
              <w:right w:type="dxa" w:w="120"/>
            </w:tcMar>
          </w:tcPr>
          <w:p>
            <w:pPr>
              <w:spacing w:before="120" w:after="120" w:line="288" w:lineRule="auto"/>
              <w:ind w:left="0"/>
              <w:jc w:val="left"/>
            </w:pPr>
            <w:r>
              <w:rPr>
                <w:rFonts w:eastAsia="等线" w:ascii="Arial" w:cs="Arial" w:hAnsi="Arial"/>
                <w:sz w:val="22"/>
              </w:rPr>
              <w:t>X轴分辨率</w:t>
            </w:r>
          </w:p>
        </w:tc>
        <w:tc>
          <w:tcPr>
            <w:tcW w:w="1095" w:type="dxa"/>
            <w:tcMar>
              <w:top w:type="dxa" w:w="60"/>
              <w:left w:type="dxa" w:w="120"/>
              <w:bottom w:type="dxa" w:w="30"/>
              <w:right w:type="dxa" w:w="120"/>
            </w:tcMar>
          </w:tcPr>
          <w:p>
            <w:pPr>
              <w:spacing w:before="120" w:after="120" w:line="288" w:lineRule="auto"/>
              <w:ind w:left="0"/>
              <w:jc w:val="left"/>
            </w:pPr>
            <w:r>
              <w:rPr>
                <w:rFonts w:eastAsia="等线" w:ascii="Arial" w:cs="Arial" w:hAnsi="Arial"/>
                <w:sz w:val="22"/>
              </w:rPr>
              <w:t>mm</w:t>
            </w:r>
          </w:p>
        </w:tc>
        <w:tc>
          <w:tcPr>
            <w:tcW w:w="4575" w:type="dxa"/>
            <w:tcMar>
              <w:top w:type="dxa" w:w="60"/>
              <w:left w:type="dxa" w:w="120"/>
              <w:bottom w:type="dxa" w:w="30"/>
              <w:right w:type="dxa" w:w="120"/>
            </w:tcMar>
          </w:tcPr>
          <w:p>
            <w:pPr>
              <w:spacing w:before="120" w:after="120" w:line="288" w:lineRule="auto"/>
              <w:ind w:left="0"/>
              <w:jc w:val="left"/>
            </w:pPr>
            <w:r>
              <w:rPr>
                <w:rFonts w:eastAsia="等线" w:ascii="Arial" w:cs="Arial" w:hAnsi="Arial"/>
                <w:sz w:val="22"/>
              </w:rPr>
              <w:t>0.025μm</w:t>
            </w:r>
          </w:p>
        </w:tc>
      </w:tr>
      <w:tr>
        <w:tc>
          <w:tcPr>
            <w:tcW w:w="2610" w:type="dxa"/>
            <w:tcMar>
              <w:top w:type="dxa" w:w="60"/>
              <w:left w:type="dxa" w:w="120"/>
              <w:bottom w:type="dxa" w:w="30"/>
              <w:right w:type="dxa" w:w="120"/>
            </w:tcMar>
          </w:tcPr>
          <w:p>
            <w:pPr>
              <w:spacing w:before="120" w:after="120" w:line="288" w:lineRule="auto"/>
              <w:ind w:left="0"/>
              <w:jc w:val="left"/>
            </w:pPr>
            <w:r>
              <w:rPr>
                <w:rFonts w:eastAsia="等线" w:ascii="Arial" w:cs="Arial" w:hAnsi="Arial"/>
                <w:sz w:val="22"/>
              </w:rPr>
              <w:t>Z轴分辨率</w:t>
            </w:r>
          </w:p>
        </w:tc>
        <w:tc>
          <w:tcPr>
            <w:tcW w:w="1095" w:type="dxa"/>
            <w:tcMar>
              <w:top w:type="dxa" w:w="60"/>
              <w:left w:type="dxa" w:w="120"/>
              <w:bottom w:type="dxa" w:w="30"/>
              <w:right w:type="dxa" w:w="120"/>
            </w:tcMar>
          </w:tcPr>
          <w:p>
            <w:pPr>
              <w:spacing w:before="120" w:after="120" w:line="288" w:lineRule="auto"/>
              <w:ind w:left="0"/>
              <w:jc w:val="left"/>
            </w:pPr>
            <w:r>
              <w:rPr>
                <w:rFonts w:eastAsia="等线" w:ascii="Arial" w:cs="Arial" w:hAnsi="Arial"/>
                <w:sz w:val="22"/>
              </w:rPr>
              <w:t>mm</w:t>
            </w:r>
          </w:p>
        </w:tc>
        <w:tc>
          <w:tcPr>
            <w:tcW w:w="4575" w:type="dxa"/>
            <w:tcMar>
              <w:top w:type="dxa" w:w="60"/>
              <w:left w:type="dxa" w:w="120"/>
              <w:bottom w:type="dxa" w:w="30"/>
              <w:right w:type="dxa" w:w="120"/>
            </w:tcMar>
          </w:tcPr>
          <w:p>
            <w:pPr>
              <w:spacing w:before="120" w:after="120" w:line="288" w:lineRule="auto"/>
              <w:ind w:left="0"/>
              <w:jc w:val="left"/>
            </w:pPr>
            <w:r>
              <w:rPr>
                <w:rFonts w:eastAsia="等线" w:ascii="Arial" w:cs="Arial" w:hAnsi="Arial"/>
                <w:sz w:val="22"/>
              </w:rPr>
              <w:t>0.005μm</w:t>
            </w:r>
          </w:p>
        </w:tc>
      </w:tr>
      <w:tr>
        <w:tc>
          <w:tcPr>
            <w:tcW w:w="2610" w:type="dxa"/>
            <w:tcMar>
              <w:top w:type="dxa" w:w="60"/>
              <w:left w:type="dxa" w:w="120"/>
              <w:bottom w:type="dxa" w:w="30"/>
              <w:right w:type="dxa" w:w="120"/>
            </w:tcMar>
          </w:tcPr>
          <w:p>
            <w:pPr>
              <w:spacing w:before="120" w:after="120" w:line="288" w:lineRule="auto"/>
              <w:ind w:left="0"/>
              <w:jc w:val="left"/>
            </w:pPr>
            <w:r>
              <w:rPr>
                <w:rFonts w:eastAsia="等线" w:ascii="Arial" w:cs="Arial" w:hAnsi="Arial"/>
                <w:sz w:val="22"/>
              </w:rPr>
              <w:t>C轴角度分辨率</w:t>
            </w:r>
          </w:p>
        </w:tc>
        <w:tc>
          <w:tcPr>
            <w:tcW w:w="1095" w:type="dxa"/>
            <w:tcMar>
              <w:top w:type="dxa" w:w="60"/>
              <w:left w:type="dxa" w:w="120"/>
              <w:bottom w:type="dxa" w:w="30"/>
              <w:right w:type="dxa" w:w="120"/>
            </w:tcMar>
          </w:tcPr>
          <w:p>
            <w:pPr>
              <w:spacing w:before="120" w:after="120" w:line="288" w:lineRule="auto"/>
              <w:ind w:left="0"/>
              <w:jc w:val="left"/>
            </w:pPr>
            <w:r>
              <w:rPr>
                <w:rFonts w:eastAsia="等线" w:ascii="Arial" w:cs="Arial" w:hAnsi="Arial"/>
                <w:sz w:val="22"/>
              </w:rPr>
              <w:t>°</w:t>
            </w:r>
          </w:p>
        </w:tc>
        <w:tc>
          <w:tcPr>
            <w:tcW w:w="4575" w:type="dxa"/>
            <w:tcMar>
              <w:top w:type="dxa" w:w="60"/>
              <w:left w:type="dxa" w:w="120"/>
              <w:bottom w:type="dxa" w:w="30"/>
              <w:right w:type="dxa" w:w="120"/>
            </w:tcMar>
          </w:tcPr>
          <w:p>
            <w:pPr>
              <w:spacing w:before="120" w:after="120" w:line="288" w:lineRule="auto"/>
              <w:ind w:left="0"/>
              <w:jc w:val="left"/>
            </w:pPr>
            <w:r>
              <w:rPr>
                <w:rFonts w:eastAsia="等线" w:ascii="Arial" w:cs="Arial" w:hAnsi="Arial"/>
                <w:sz w:val="22"/>
              </w:rPr>
              <w:t>0.00001</w:t>
            </w:r>
          </w:p>
        </w:tc>
      </w:tr>
      <w:tr>
        <w:tc>
          <w:tcPr>
            <w:tcW w:w="2610" w:type="dxa"/>
            <w:tcMar>
              <w:top w:type="dxa" w:w="60"/>
              <w:left w:type="dxa" w:w="120"/>
              <w:bottom w:type="dxa" w:w="30"/>
              <w:right w:type="dxa" w:w="120"/>
            </w:tcMar>
          </w:tcPr>
          <w:p>
            <w:pPr>
              <w:spacing w:before="120" w:after="120" w:line="288" w:lineRule="auto"/>
              <w:ind w:left="0"/>
              <w:jc w:val="left"/>
            </w:pPr>
            <w:r>
              <w:rPr>
                <w:rFonts w:eastAsia="等线" w:ascii="Arial" w:cs="Arial" w:hAnsi="Arial"/>
                <w:b w:val="true"/>
                <w:sz w:val="22"/>
              </w:rPr>
              <w:t>激光工艺单元</w:t>
            </w:r>
          </w:p>
        </w:tc>
        <w:tc>
          <w:tcPr>
            <w:tcW w:w="1095" w:type="dxa"/>
            <w:tcMar>
              <w:top w:type="dxa" w:w="60"/>
              <w:left w:type="dxa" w:w="120"/>
              <w:bottom w:type="dxa" w:w="30"/>
              <w:right w:type="dxa" w:w="120"/>
            </w:tcMar>
          </w:tcPr>
          <w:p>
            <w:pPr>
              <w:spacing w:before="120" w:after="120" w:line="288" w:lineRule="auto"/>
              <w:ind w:left="0"/>
              <w:jc w:val="left"/>
            </w:pPr>
            <w:r>
              <w:rPr>
                <w:rFonts w:eastAsia="等线" w:ascii="Arial" w:cs="Arial" w:hAnsi="Arial"/>
                <w:sz w:val="22"/>
              </w:rPr>
              <w:t>—</w:t>
            </w:r>
          </w:p>
        </w:tc>
        <w:tc>
          <w:tcPr>
            <w:tcW w:w="4575" w:type="dxa"/>
            <w:tcMar>
              <w:top w:type="dxa" w:w="60"/>
              <w:left w:type="dxa" w:w="120"/>
              <w:bottom w:type="dxa" w:w="30"/>
              <w:right w:type="dxa" w:w="120"/>
            </w:tcMar>
          </w:tcPr>
          <w:p>
            <w:pPr>
              <w:spacing w:before="120" w:after="120" w:line="288" w:lineRule="auto"/>
              <w:ind w:left="0"/>
              <w:jc w:val="left"/>
            </w:pPr>
            <w:r>
              <w:rPr>
                <w:rFonts w:eastAsia="等线" w:ascii="Arial" w:cs="Arial" w:hAnsi="Arial"/>
                <w:sz w:val="22"/>
              </w:rPr>
              <w:t>—</w:t>
            </w:r>
          </w:p>
        </w:tc>
      </w:tr>
      <w:tr>
        <w:tc>
          <w:tcPr>
            <w:tcW w:w="2610" w:type="dxa"/>
            <w:tcMar>
              <w:top w:type="dxa" w:w="60"/>
              <w:left w:type="dxa" w:w="120"/>
              <w:bottom w:type="dxa" w:w="30"/>
              <w:right w:type="dxa" w:w="120"/>
            </w:tcMar>
          </w:tcPr>
          <w:p>
            <w:pPr>
              <w:spacing w:before="120" w:after="120" w:line="288" w:lineRule="auto"/>
              <w:ind w:left="0"/>
              <w:jc w:val="left"/>
            </w:pPr>
            <w:r>
              <w:rPr>
                <w:rFonts w:eastAsia="等线" w:ascii="Arial" w:cs="Arial" w:hAnsi="Arial"/>
                <w:sz w:val="22"/>
              </w:rPr>
              <w:t>激光输出功率</w:t>
            </w:r>
          </w:p>
        </w:tc>
        <w:tc>
          <w:tcPr>
            <w:tcW w:w="1095" w:type="dxa"/>
            <w:tcMar>
              <w:top w:type="dxa" w:w="60"/>
              <w:left w:type="dxa" w:w="120"/>
              <w:bottom w:type="dxa" w:w="30"/>
              <w:right w:type="dxa" w:w="120"/>
            </w:tcMar>
          </w:tcPr>
          <w:p>
            <w:pPr>
              <w:spacing w:before="120" w:after="120" w:line="288" w:lineRule="auto"/>
              <w:ind w:left="0"/>
              <w:jc w:val="left"/>
            </w:pPr>
            <w:r>
              <w:rPr>
                <w:rFonts w:eastAsia="等线" w:ascii="Arial" w:cs="Arial" w:hAnsi="Arial"/>
                <w:sz w:val="22"/>
              </w:rPr>
              <w:t>W</w:t>
            </w:r>
          </w:p>
        </w:tc>
        <w:tc>
          <w:tcPr>
            <w:tcW w:w="4575" w:type="dxa"/>
            <w:tcMar>
              <w:top w:type="dxa" w:w="60"/>
              <w:left w:type="dxa" w:w="120"/>
              <w:bottom w:type="dxa" w:w="30"/>
              <w:right w:type="dxa" w:w="120"/>
            </w:tcMar>
          </w:tcPr>
          <w:p>
            <w:pPr>
              <w:spacing w:before="120" w:after="120" w:line="288" w:lineRule="auto"/>
              <w:ind w:left="0"/>
              <w:jc w:val="left"/>
            </w:pPr>
            <w:r>
              <w:rPr>
                <w:rFonts w:eastAsia="等线" w:ascii="Arial" w:cs="Arial" w:hAnsi="Arial"/>
                <w:sz w:val="22"/>
              </w:rPr>
              <w:t>0‑200（连续可调）</w:t>
            </w:r>
          </w:p>
        </w:tc>
      </w:tr>
      <w:tr>
        <w:tc>
          <w:tcPr>
            <w:tcW w:w="2610" w:type="dxa"/>
            <w:tcMar>
              <w:top w:type="dxa" w:w="60"/>
              <w:left w:type="dxa" w:w="120"/>
              <w:bottom w:type="dxa" w:w="30"/>
              <w:right w:type="dxa" w:w="120"/>
            </w:tcMar>
          </w:tcPr>
          <w:p>
            <w:pPr>
              <w:spacing w:before="120" w:after="120" w:line="288" w:lineRule="auto"/>
              <w:ind w:left="0"/>
              <w:jc w:val="left"/>
            </w:pPr>
            <w:r>
              <w:rPr>
                <w:rFonts w:eastAsia="等线" w:ascii="Arial" w:cs="Arial" w:hAnsi="Arial"/>
                <w:sz w:val="22"/>
              </w:rPr>
              <w:t>激光光斑直径</w:t>
            </w:r>
          </w:p>
        </w:tc>
        <w:tc>
          <w:tcPr>
            <w:tcW w:w="1095" w:type="dxa"/>
            <w:tcMar>
              <w:top w:type="dxa" w:w="60"/>
              <w:left w:type="dxa" w:w="120"/>
              <w:bottom w:type="dxa" w:w="30"/>
              <w:right w:type="dxa" w:w="120"/>
            </w:tcMar>
          </w:tcPr>
          <w:p>
            <w:pPr>
              <w:spacing w:before="120" w:after="120" w:line="288" w:lineRule="auto"/>
              <w:ind w:left="0"/>
              <w:jc w:val="left"/>
            </w:pPr>
            <w:r>
              <w:rPr>
                <w:rFonts w:eastAsia="等线" w:ascii="Arial" w:cs="Arial" w:hAnsi="Arial"/>
                <w:sz w:val="22"/>
              </w:rPr>
              <w:t>μm</w:t>
            </w:r>
          </w:p>
        </w:tc>
        <w:tc>
          <w:tcPr>
            <w:tcW w:w="4575" w:type="dxa"/>
            <w:tcMar>
              <w:top w:type="dxa" w:w="60"/>
              <w:left w:type="dxa" w:w="120"/>
              <w:bottom w:type="dxa" w:w="30"/>
              <w:right w:type="dxa" w:w="120"/>
            </w:tcMar>
          </w:tcPr>
          <w:p>
            <w:pPr>
              <w:spacing w:before="120" w:after="120" w:line="288" w:lineRule="auto"/>
              <w:ind w:left="0"/>
              <w:jc w:val="left"/>
            </w:pPr>
            <w:r>
              <w:rPr>
                <w:rFonts w:eastAsia="等线" w:ascii="Arial" w:cs="Arial" w:hAnsi="Arial"/>
                <w:sz w:val="22"/>
              </w:rPr>
              <w:t>20‑100可调</w:t>
            </w:r>
          </w:p>
        </w:tc>
      </w:tr>
      <w:tr>
        <w:tc>
          <w:tcPr>
            <w:tcW w:w="2610" w:type="dxa"/>
            <w:tcMar>
              <w:top w:type="dxa" w:w="60"/>
              <w:left w:type="dxa" w:w="120"/>
              <w:bottom w:type="dxa" w:w="30"/>
              <w:right w:type="dxa" w:w="120"/>
            </w:tcMar>
          </w:tcPr>
          <w:p>
            <w:pPr>
              <w:spacing w:before="120" w:after="120" w:line="288" w:lineRule="auto"/>
              <w:ind w:left="0"/>
              <w:jc w:val="left"/>
            </w:pPr>
            <w:r>
              <w:rPr>
                <w:rFonts w:eastAsia="等线" w:ascii="Arial" w:cs="Arial" w:hAnsi="Arial"/>
                <w:sz w:val="22"/>
              </w:rPr>
              <w:t>激光同轴对中重复精度</w:t>
            </w:r>
          </w:p>
        </w:tc>
        <w:tc>
          <w:tcPr>
            <w:tcW w:w="1095" w:type="dxa"/>
            <w:tcMar>
              <w:top w:type="dxa" w:w="60"/>
              <w:left w:type="dxa" w:w="120"/>
              <w:bottom w:type="dxa" w:w="30"/>
              <w:right w:type="dxa" w:w="120"/>
            </w:tcMar>
          </w:tcPr>
          <w:p>
            <w:pPr>
              <w:spacing w:before="120" w:after="120" w:line="288" w:lineRule="auto"/>
              <w:ind w:left="0"/>
              <w:jc w:val="left"/>
            </w:pPr>
            <w:r>
              <w:rPr>
                <w:rFonts w:eastAsia="等线" w:ascii="Arial" w:cs="Arial" w:hAnsi="Arial"/>
                <w:sz w:val="22"/>
              </w:rPr>
              <w:t>μm</w:t>
            </w:r>
          </w:p>
        </w:tc>
        <w:tc>
          <w:tcPr>
            <w:tcW w:w="4575" w:type="dxa"/>
            <w:tcMar>
              <w:top w:type="dxa" w:w="60"/>
              <w:left w:type="dxa" w:w="120"/>
              <w:bottom w:type="dxa" w:w="30"/>
              <w:right w:type="dxa" w:w="120"/>
            </w:tcMar>
          </w:tcPr>
          <w:p>
            <w:pPr>
              <w:spacing w:before="120" w:after="120" w:line="288" w:lineRule="auto"/>
              <w:ind w:left="0"/>
              <w:jc w:val="left"/>
            </w:pPr>
            <w:r>
              <w:rPr>
                <w:rFonts w:eastAsia="等线" w:ascii="Arial" w:cs="Arial" w:hAnsi="Arial"/>
                <w:sz w:val="22"/>
              </w:rPr>
              <w:t>≤2</w:t>
            </w:r>
          </w:p>
        </w:tc>
      </w:tr>
      <w:tr>
        <w:tc>
          <w:tcPr>
            <w:tcW w:w="2610" w:type="dxa"/>
            <w:tcMar>
              <w:top w:type="dxa" w:w="60"/>
              <w:left w:type="dxa" w:w="120"/>
              <w:bottom w:type="dxa" w:w="30"/>
              <w:right w:type="dxa" w:w="120"/>
            </w:tcMar>
          </w:tcPr>
          <w:p>
            <w:pPr>
              <w:spacing w:before="120" w:after="120" w:line="288" w:lineRule="auto"/>
              <w:ind w:left="0"/>
              <w:jc w:val="left"/>
            </w:pPr>
            <w:r>
              <w:rPr>
                <w:rFonts w:eastAsia="等线" w:ascii="Arial" w:cs="Arial" w:hAnsi="Arial"/>
                <w:sz w:val="22"/>
              </w:rPr>
              <w:t>激光工艺时序联动</w:t>
            </w:r>
          </w:p>
        </w:tc>
        <w:tc>
          <w:tcPr>
            <w:tcW w:w="1095" w:type="dxa"/>
            <w:tcMar>
              <w:top w:type="dxa" w:w="60"/>
              <w:left w:type="dxa" w:w="120"/>
              <w:bottom w:type="dxa" w:w="30"/>
              <w:right w:type="dxa" w:w="120"/>
            </w:tcMar>
          </w:tcPr>
          <w:p>
            <w:pPr>
              <w:spacing w:before="120" w:after="120" w:line="288" w:lineRule="auto"/>
              <w:ind w:left="0"/>
              <w:jc w:val="left"/>
            </w:pPr>
            <w:r>
              <w:rPr>
                <w:rFonts w:eastAsia="等线" w:ascii="Arial" w:cs="Arial" w:hAnsi="Arial"/>
                <w:sz w:val="22"/>
              </w:rPr>
              <w:t>—</w:t>
            </w:r>
          </w:p>
        </w:tc>
        <w:tc>
          <w:tcPr>
            <w:tcW w:w="4575" w:type="dxa"/>
            <w:tcMar>
              <w:top w:type="dxa" w:w="60"/>
              <w:left w:type="dxa" w:w="120"/>
              <w:bottom w:type="dxa" w:w="30"/>
              <w:right w:type="dxa" w:w="120"/>
            </w:tcMar>
          </w:tcPr>
          <w:p>
            <w:pPr>
              <w:spacing w:before="120" w:after="120" w:line="288" w:lineRule="auto"/>
              <w:ind w:left="0"/>
              <w:jc w:val="left"/>
            </w:pPr>
            <w:r>
              <w:rPr>
                <w:rFonts w:eastAsia="等线" w:ascii="Arial" w:cs="Arial" w:hAnsi="Arial"/>
                <w:sz w:val="22"/>
              </w:rPr>
              <w:t>与机床数控系统联动</w:t>
            </w:r>
          </w:p>
        </w:tc>
      </w:tr>
      <w:tr>
        <w:tc>
          <w:tcPr>
            <w:tcW w:w="2610" w:type="dxa"/>
            <w:tcMar>
              <w:top w:type="dxa" w:w="60"/>
              <w:left w:type="dxa" w:w="120"/>
              <w:bottom w:type="dxa" w:w="30"/>
              <w:right w:type="dxa" w:w="120"/>
            </w:tcMar>
          </w:tcPr>
          <w:p>
            <w:pPr>
              <w:spacing w:before="120" w:after="120" w:line="288" w:lineRule="auto"/>
              <w:ind w:left="0"/>
              <w:jc w:val="left"/>
            </w:pPr>
            <w:r>
              <w:rPr>
                <w:rFonts w:eastAsia="等线" w:ascii="Arial" w:cs="Arial" w:hAnsi="Arial"/>
                <w:b w:val="true"/>
                <w:sz w:val="22"/>
              </w:rPr>
              <w:t>气源成套单元</w:t>
            </w:r>
          </w:p>
        </w:tc>
        <w:tc>
          <w:tcPr>
            <w:tcW w:w="1095" w:type="dxa"/>
            <w:tcMar>
              <w:top w:type="dxa" w:w="60"/>
              <w:left w:type="dxa" w:w="120"/>
              <w:bottom w:type="dxa" w:w="30"/>
              <w:right w:type="dxa" w:w="120"/>
            </w:tcMar>
          </w:tcPr>
          <w:p>
            <w:pPr>
              <w:spacing w:before="120" w:after="120" w:line="288" w:lineRule="auto"/>
              <w:ind w:left="0"/>
              <w:jc w:val="left"/>
            </w:pPr>
            <w:r>
              <w:rPr>
                <w:rFonts w:eastAsia="等线" w:ascii="Arial" w:cs="Arial" w:hAnsi="Arial"/>
                <w:sz w:val="22"/>
              </w:rPr>
              <w:t>—</w:t>
            </w:r>
          </w:p>
        </w:tc>
        <w:tc>
          <w:tcPr>
            <w:tcW w:w="4575" w:type="dxa"/>
            <w:tcMar>
              <w:top w:type="dxa" w:w="60"/>
              <w:left w:type="dxa" w:w="120"/>
              <w:bottom w:type="dxa" w:w="30"/>
              <w:right w:type="dxa" w:w="120"/>
            </w:tcMar>
          </w:tcPr>
          <w:p>
            <w:pPr>
              <w:spacing w:before="120" w:after="120" w:line="288" w:lineRule="auto"/>
              <w:ind w:left="0"/>
              <w:jc w:val="left"/>
            </w:pPr>
            <w:r>
              <w:rPr>
                <w:rFonts w:eastAsia="等线" w:ascii="Arial" w:cs="Arial" w:hAnsi="Arial"/>
                <w:sz w:val="22"/>
              </w:rPr>
              <w:t>—</w:t>
            </w:r>
          </w:p>
        </w:tc>
      </w:tr>
      <w:tr>
        <w:tc>
          <w:tcPr>
            <w:tcW w:w="2610" w:type="dxa"/>
            <w:tcMar>
              <w:top w:type="dxa" w:w="60"/>
              <w:left w:type="dxa" w:w="120"/>
              <w:bottom w:type="dxa" w:w="30"/>
              <w:right w:type="dxa" w:w="120"/>
            </w:tcMar>
          </w:tcPr>
          <w:p>
            <w:pPr>
              <w:spacing w:before="120" w:after="120" w:line="288" w:lineRule="auto"/>
              <w:ind w:left="0"/>
              <w:jc w:val="left"/>
            </w:pPr>
            <w:r>
              <w:rPr>
                <w:rFonts w:eastAsia="等线" w:ascii="Arial" w:cs="Arial" w:hAnsi="Arial"/>
                <w:sz w:val="22"/>
              </w:rPr>
              <w:t>压缩空气处理系统</w:t>
            </w:r>
          </w:p>
        </w:tc>
        <w:tc>
          <w:tcPr>
            <w:tcW w:w="1095" w:type="dxa"/>
            <w:tcMar>
              <w:top w:type="dxa" w:w="60"/>
              <w:left w:type="dxa" w:w="120"/>
              <w:bottom w:type="dxa" w:w="30"/>
              <w:right w:type="dxa" w:w="120"/>
            </w:tcMar>
          </w:tcPr>
          <w:p>
            <w:pPr>
              <w:spacing w:before="120" w:after="120" w:line="288" w:lineRule="auto"/>
              <w:ind w:left="0"/>
              <w:jc w:val="left"/>
            </w:pPr>
            <w:r>
              <w:rPr>
                <w:rFonts w:eastAsia="等线" w:ascii="Arial" w:cs="Arial" w:hAnsi="Arial"/>
                <w:sz w:val="22"/>
              </w:rPr>
              <w:t>—</w:t>
            </w:r>
          </w:p>
        </w:tc>
        <w:tc>
          <w:tcPr>
            <w:tcW w:w="4575" w:type="dxa"/>
            <w:tcMar>
              <w:top w:type="dxa" w:w="60"/>
              <w:left w:type="dxa" w:w="120"/>
              <w:bottom w:type="dxa" w:w="30"/>
              <w:right w:type="dxa" w:w="120"/>
            </w:tcMar>
          </w:tcPr>
          <w:p>
            <w:pPr>
              <w:spacing w:before="120" w:after="120" w:line="288" w:lineRule="auto"/>
              <w:ind w:left="0"/>
              <w:jc w:val="left"/>
            </w:pPr>
            <w:r>
              <w:rPr>
                <w:rFonts w:eastAsia="等线" w:ascii="Arial" w:cs="Arial" w:hAnsi="Arial"/>
                <w:sz w:val="22"/>
              </w:rPr>
              <w:t>5μm三级过滤，冷冻干燥，温控±2℃，压力联锁报警</w:t>
            </w:r>
          </w:p>
        </w:tc>
      </w:tr>
      <w:tr>
        <w:tc>
          <w:tcPr>
            <w:tcW w:w="2610" w:type="dxa"/>
            <w:tcMar>
              <w:top w:type="dxa" w:w="60"/>
              <w:left w:type="dxa" w:w="120"/>
              <w:bottom w:type="dxa" w:w="30"/>
              <w:right w:type="dxa" w:w="120"/>
            </w:tcMar>
          </w:tcPr>
          <w:p>
            <w:pPr>
              <w:spacing w:before="120" w:after="120" w:line="288" w:lineRule="auto"/>
              <w:ind w:left="0"/>
              <w:jc w:val="left"/>
            </w:pPr>
            <w:r>
              <w:rPr>
                <w:rFonts w:eastAsia="等线" w:ascii="Arial" w:cs="Arial" w:hAnsi="Arial"/>
                <w:b w:val="true"/>
                <w:sz w:val="22"/>
              </w:rPr>
              <w:t>冷却成套单元</w:t>
            </w:r>
          </w:p>
        </w:tc>
        <w:tc>
          <w:tcPr>
            <w:tcW w:w="1095" w:type="dxa"/>
            <w:tcMar>
              <w:top w:type="dxa" w:w="60"/>
              <w:left w:type="dxa" w:w="120"/>
              <w:bottom w:type="dxa" w:w="30"/>
              <w:right w:type="dxa" w:w="120"/>
            </w:tcMar>
          </w:tcPr>
          <w:p>
            <w:pPr>
              <w:spacing w:before="120" w:after="120" w:line="288" w:lineRule="auto"/>
              <w:ind w:left="0"/>
              <w:jc w:val="left"/>
            </w:pPr>
            <w:r>
              <w:rPr>
                <w:rFonts w:eastAsia="等线" w:ascii="Arial" w:cs="Arial" w:hAnsi="Arial"/>
                <w:sz w:val="22"/>
              </w:rPr>
              <w:t>—</w:t>
            </w:r>
          </w:p>
        </w:tc>
        <w:tc>
          <w:tcPr>
            <w:tcW w:w="4575" w:type="dxa"/>
            <w:tcMar>
              <w:top w:type="dxa" w:w="60"/>
              <w:left w:type="dxa" w:w="120"/>
              <w:bottom w:type="dxa" w:w="30"/>
              <w:right w:type="dxa" w:w="120"/>
            </w:tcMar>
          </w:tcPr>
          <w:p>
            <w:pPr>
              <w:spacing w:before="120" w:after="120" w:line="288" w:lineRule="auto"/>
              <w:ind w:left="0"/>
              <w:jc w:val="left"/>
            </w:pPr>
            <w:r>
              <w:rPr>
                <w:rFonts w:eastAsia="等线" w:ascii="Arial" w:cs="Arial" w:hAnsi="Arial"/>
                <w:sz w:val="22"/>
              </w:rPr>
              <w:t>—</w:t>
            </w:r>
          </w:p>
        </w:tc>
      </w:tr>
      <w:tr>
        <w:tc>
          <w:tcPr>
            <w:tcW w:w="2610" w:type="dxa"/>
            <w:tcMar>
              <w:top w:type="dxa" w:w="60"/>
              <w:left w:type="dxa" w:w="120"/>
              <w:bottom w:type="dxa" w:w="30"/>
              <w:right w:type="dxa" w:w="120"/>
            </w:tcMar>
          </w:tcPr>
          <w:p>
            <w:pPr>
              <w:spacing w:before="120" w:after="120" w:line="288" w:lineRule="auto"/>
              <w:ind w:left="0"/>
              <w:jc w:val="left"/>
            </w:pPr>
            <w:r>
              <w:rPr>
                <w:rFonts w:eastAsia="等线" w:ascii="Arial" w:cs="Arial" w:hAnsi="Arial"/>
                <w:sz w:val="22"/>
              </w:rPr>
              <w:t>主轴冷却水控温精度</w:t>
            </w:r>
          </w:p>
        </w:tc>
        <w:tc>
          <w:tcPr>
            <w:tcW w:w="1095" w:type="dxa"/>
            <w:tcMar>
              <w:top w:type="dxa" w:w="60"/>
              <w:left w:type="dxa" w:w="120"/>
              <w:bottom w:type="dxa" w:w="30"/>
              <w:right w:type="dxa" w:w="120"/>
            </w:tcMar>
          </w:tcPr>
          <w:p>
            <w:pPr>
              <w:spacing w:before="120" w:after="120" w:line="288" w:lineRule="auto"/>
              <w:ind w:left="0"/>
              <w:jc w:val="left"/>
            </w:pPr>
            <w:r>
              <w:rPr>
                <w:rFonts w:eastAsia="等线" w:ascii="Arial" w:cs="Arial" w:hAnsi="Arial"/>
                <w:sz w:val="22"/>
              </w:rPr>
              <w:t>℃</w:t>
            </w:r>
          </w:p>
        </w:tc>
        <w:tc>
          <w:tcPr>
            <w:tcW w:w="4575" w:type="dxa"/>
            <w:tcMar>
              <w:top w:type="dxa" w:w="60"/>
              <w:left w:type="dxa" w:w="120"/>
              <w:bottom w:type="dxa" w:w="30"/>
              <w:right w:type="dxa" w:w="120"/>
            </w:tcMar>
          </w:tcPr>
          <w:p>
            <w:pPr>
              <w:spacing w:before="120" w:after="120" w:line="288" w:lineRule="auto"/>
              <w:ind w:left="0"/>
              <w:jc w:val="left"/>
            </w:pPr>
            <w:r>
              <w:rPr>
                <w:rFonts w:eastAsia="等线" w:ascii="Arial" w:cs="Arial" w:hAnsi="Arial"/>
                <w:sz w:val="22"/>
              </w:rPr>
              <w:t>±0.3</w:t>
            </w:r>
          </w:p>
        </w:tc>
      </w:tr>
      <w:tr>
        <w:tc>
          <w:tcPr>
            <w:tcW w:w="2610" w:type="dxa"/>
            <w:tcMar>
              <w:top w:type="dxa" w:w="60"/>
              <w:left w:type="dxa" w:w="120"/>
              <w:bottom w:type="dxa" w:w="30"/>
              <w:right w:type="dxa" w:w="120"/>
            </w:tcMar>
          </w:tcPr>
          <w:p>
            <w:pPr>
              <w:spacing w:before="120" w:after="120" w:line="288" w:lineRule="auto"/>
              <w:ind w:left="0"/>
              <w:jc w:val="left"/>
            </w:pPr>
            <w:r>
              <w:rPr>
                <w:rFonts w:eastAsia="等线" w:ascii="Arial" w:cs="Arial" w:hAnsi="Arial"/>
                <w:sz w:val="22"/>
              </w:rPr>
              <w:t>激光模块冷水机控温精度</w:t>
            </w:r>
          </w:p>
        </w:tc>
        <w:tc>
          <w:tcPr>
            <w:tcW w:w="1095" w:type="dxa"/>
            <w:tcMar>
              <w:top w:type="dxa" w:w="60"/>
              <w:left w:type="dxa" w:w="120"/>
              <w:bottom w:type="dxa" w:w="30"/>
              <w:right w:type="dxa" w:w="120"/>
            </w:tcMar>
          </w:tcPr>
          <w:p>
            <w:pPr>
              <w:spacing w:before="120" w:after="120" w:line="288" w:lineRule="auto"/>
              <w:ind w:left="0"/>
              <w:jc w:val="left"/>
            </w:pPr>
            <w:r>
              <w:rPr>
                <w:rFonts w:eastAsia="等线" w:ascii="Arial" w:cs="Arial" w:hAnsi="Arial"/>
                <w:sz w:val="22"/>
              </w:rPr>
              <w:t>℃</w:t>
            </w:r>
          </w:p>
        </w:tc>
        <w:tc>
          <w:tcPr>
            <w:tcW w:w="4575" w:type="dxa"/>
            <w:tcMar>
              <w:top w:type="dxa" w:w="60"/>
              <w:left w:type="dxa" w:w="120"/>
              <w:bottom w:type="dxa" w:w="30"/>
              <w:right w:type="dxa" w:w="120"/>
            </w:tcMar>
          </w:tcPr>
          <w:p>
            <w:pPr>
              <w:spacing w:before="120" w:after="120" w:line="288" w:lineRule="auto"/>
              <w:ind w:left="0"/>
              <w:jc w:val="left"/>
            </w:pPr>
            <w:r>
              <w:rPr>
                <w:rFonts w:eastAsia="等线" w:ascii="Arial" w:cs="Arial" w:hAnsi="Arial"/>
                <w:sz w:val="22"/>
              </w:rPr>
              <w:t>±0.5</w:t>
            </w:r>
          </w:p>
        </w:tc>
      </w:tr>
      <w:tr>
        <w:tc>
          <w:tcPr>
            <w:tcW w:w="2610" w:type="dxa"/>
            <w:tcMar>
              <w:top w:type="dxa" w:w="60"/>
              <w:left w:type="dxa" w:w="120"/>
              <w:bottom w:type="dxa" w:w="30"/>
              <w:right w:type="dxa" w:w="120"/>
            </w:tcMar>
          </w:tcPr>
          <w:p>
            <w:pPr>
              <w:spacing w:before="120" w:after="120" w:line="288" w:lineRule="auto"/>
              <w:ind w:left="0"/>
              <w:jc w:val="left"/>
            </w:pPr>
            <w:r>
              <w:rPr>
                <w:rFonts w:eastAsia="等线" w:ascii="Arial" w:cs="Arial" w:hAnsi="Arial"/>
                <w:b w:val="true"/>
                <w:sz w:val="22"/>
              </w:rPr>
              <w:t>其它整机参数</w:t>
            </w:r>
          </w:p>
        </w:tc>
        <w:tc>
          <w:tcPr>
            <w:tcW w:w="1095" w:type="dxa"/>
            <w:tcMar>
              <w:top w:type="dxa" w:w="60"/>
              <w:left w:type="dxa" w:w="120"/>
              <w:bottom w:type="dxa" w:w="30"/>
              <w:right w:type="dxa" w:w="120"/>
            </w:tcMar>
          </w:tcPr>
          <w:p>
            <w:pPr>
              <w:spacing w:before="120" w:after="120" w:line="288" w:lineRule="auto"/>
              <w:ind w:left="0"/>
              <w:jc w:val="left"/>
            </w:pPr>
            <w:r>
              <w:rPr>
                <w:rFonts w:eastAsia="等线" w:ascii="Arial" w:cs="Arial" w:hAnsi="Arial"/>
                <w:sz w:val="22"/>
              </w:rPr>
              <w:t>—</w:t>
            </w:r>
          </w:p>
        </w:tc>
        <w:tc>
          <w:tcPr>
            <w:tcW w:w="4575" w:type="dxa"/>
            <w:tcMar>
              <w:top w:type="dxa" w:w="60"/>
              <w:left w:type="dxa" w:w="120"/>
              <w:bottom w:type="dxa" w:w="30"/>
              <w:right w:type="dxa" w:w="120"/>
            </w:tcMar>
          </w:tcPr>
          <w:p>
            <w:pPr>
              <w:spacing w:before="120" w:after="120" w:line="288" w:lineRule="auto"/>
              <w:ind w:left="0"/>
              <w:jc w:val="left"/>
            </w:pPr>
            <w:r>
              <w:rPr>
                <w:rFonts w:eastAsia="等线" w:ascii="Arial" w:cs="Arial" w:hAnsi="Arial"/>
                <w:sz w:val="22"/>
              </w:rPr>
              <w:t>—</w:t>
            </w:r>
          </w:p>
        </w:tc>
      </w:tr>
      <w:tr>
        <w:tc>
          <w:tcPr>
            <w:tcW w:w="2610" w:type="dxa"/>
            <w:tcMar>
              <w:top w:type="dxa" w:w="60"/>
              <w:left w:type="dxa" w:w="120"/>
              <w:bottom w:type="dxa" w:w="30"/>
              <w:right w:type="dxa" w:w="120"/>
            </w:tcMar>
          </w:tcPr>
          <w:p>
            <w:pPr>
              <w:spacing w:before="120" w:after="120" w:line="288" w:lineRule="auto"/>
              <w:ind w:left="0"/>
              <w:jc w:val="left"/>
            </w:pPr>
            <w:r>
              <w:rPr>
                <w:rFonts w:eastAsia="等线" w:ascii="Arial" w:cs="Arial" w:hAnsi="Arial"/>
                <w:sz w:val="22"/>
              </w:rPr>
              <w:t>机床总电源</w:t>
            </w:r>
          </w:p>
        </w:tc>
        <w:tc>
          <w:tcPr>
            <w:tcW w:w="1095" w:type="dxa"/>
            <w:tcMar>
              <w:top w:type="dxa" w:w="60"/>
              <w:left w:type="dxa" w:w="120"/>
              <w:bottom w:type="dxa" w:w="30"/>
              <w:right w:type="dxa" w:w="120"/>
            </w:tcMar>
          </w:tcPr>
          <w:p>
            <w:pPr>
              <w:spacing w:before="120" w:after="120" w:line="288" w:lineRule="auto"/>
              <w:ind w:left="0"/>
              <w:jc w:val="left"/>
            </w:pPr>
            <w:r>
              <w:rPr>
                <w:rFonts w:eastAsia="等线" w:ascii="Arial" w:cs="Arial" w:hAnsi="Arial"/>
                <w:sz w:val="22"/>
              </w:rPr>
              <w:t>V</w:t>
            </w:r>
          </w:p>
        </w:tc>
        <w:tc>
          <w:tcPr>
            <w:tcW w:w="4575" w:type="dxa"/>
            <w:tcMar>
              <w:top w:type="dxa" w:w="60"/>
              <w:left w:type="dxa" w:w="120"/>
              <w:bottom w:type="dxa" w:w="30"/>
              <w:right w:type="dxa" w:w="120"/>
            </w:tcMar>
          </w:tcPr>
          <w:p>
            <w:pPr>
              <w:spacing w:before="120" w:after="120" w:line="288" w:lineRule="auto"/>
              <w:ind w:left="0"/>
              <w:jc w:val="left"/>
            </w:pPr>
            <w:r>
              <w:rPr>
                <w:rFonts w:eastAsia="等线" w:ascii="Arial" w:cs="Arial" w:hAnsi="Arial"/>
                <w:sz w:val="22"/>
              </w:rPr>
              <w:t>三相AC380 ±10%</w:t>
            </w:r>
          </w:p>
        </w:tc>
      </w:tr>
      <w:tr>
        <w:tc>
          <w:tcPr>
            <w:tcW w:w="2610" w:type="dxa"/>
            <w:tcMar>
              <w:top w:type="dxa" w:w="60"/>
              <w:left w:type="dxa" w:w="120"/>
              <w:bottom w:type="dxa" w:w="30"/>
              <w:right w:type="dxa" w:w="120"/>
            </w:tcMar>
          </w:tcPr>
          <w:p>
            <w:pPr>
              <w:spacing w:before="120" w:after="120" w:line="288" w:lineRule="auto"/>
              <w:ind w:left="0"/>
              <w:jc w:val="left"/>
            </w:pPr>
            <w:r>
              <w:rPr>
                <w:rFonts w:eastAsia="等线" w:ascii="Arial" w:cs="Arial" w:hAnsi="Arial"/>
                <w:sz w:val="22"/>
              </w:rPr>
              <w:t>成套装备总功率</w:t>
            </w:r>
          </w:p>
        </w:tc>
        <w:tc>
          <w:tcPr>
            <w:tcW w:w="1095" w:type="dxa"/>
            <w:tcMar>
              <w:top w:type="dxa" w:w="60"/>
              <w:left w:type="dxa" w:w="120"/>
              <w:bottom w:type="dxa" w:w="30"/>
              <w:right w:type="dxa" w:w="120"/>
            </w:tcMar>
          </w:tcPr>
          <w:p>
            <w:pPr>
              <w:spacing w:before="120" w:after="120" w:line="288" w:lineRule="auto"/>
              <w:ind w:left="0"/>
              <w:jc w:val="left"/>
            </w:pPr>
            <w:r>
              <w:rPr>
                <w:rFonts w:eastAsia="等线" w:ascii="Arial" w:cs="Arial" w:hAnsi="Arial"/>
                <w:sz w:val="22"/>
              </w:rPr>
              <w:t>kW</w:t>
            </w:r>
          </w:p>
        </w:tc>
        <w:tc>
          <w:tcPr>
            <w:tcW w:w="4575" w:type="dxa"/>
            <w:tcMar>
              <w:top w:type="dxa" w:w="60"/>
              <w:left w:type="dxa" w:w="120"/>
              <w:bottom w:type="dxa" w:w="30"/>
              <w:right w:type="dxa" w:w="120"/>
            </w:tcMar>
          </w:tcPr>
          <w:p>
            <w:pPr>
              <w:spacing w:before="120" w:after="120" w:line="288" w:lineRule="auto"/>
              <w:ind w:left="0"/>
              <w:jc w:val="left"/>
            </w:pPr>
            <w:r>
              <w:rPr>
                <w:rFonts w:eastAsia="等线" w:ascii="Arial" w:cs="Arial" w:hAnsi="Arial"/>
                <w:sz w:val="22"/>
              </w:rPr>
              <w:t>35</w:t>
            </w:r>
          </w:p>
        </w:tc>
      </w:tr>
      <w:tr>
        <w:tc>
          <w:tcPr>
            <w:tcW w:w="2610" w:type="dxa"/>
            <w:tcMar>
              <w:top w:type="dxa" w:w="60"/>
              <w:left w:type="dxa" w:w="120"/>
              <w:bottom w:type="dxa" w:w="30"/>
              <w:right w:type="dxa" w:w="120"/>
            </w:tcMar>
          </w:tcPr>
          <w:p>
            <w:pPr>
              <w:spacing w:before="120" w:after="120" w:line="288" w:lineRule="auto"/>
              <w:ind w:left="0"/>
              <w:jc w:val="left"/>
            </w:pPr>
            <w:r>
              <w:rPr>
                <w:rFonts w:eastAsia="等线" w:ascii="Arial" w:cs="Arial" w:hAnsi="Arial"/>
                <w:sz w:val="22"/>
              </w:rPr>
              <w:t>成套装备总重量</w:t>
            </w:r>
          </w:p>
        </w:tc>
        <w:tc>
          <w:tcPr>
            <w:tcW w:w="1095" w:type="dxa"/>
            <w:tcMar>
              <w:top w:type="dxa" w:w="60"/>
              <w:left w:type="dxa" w:w="120"/>
              <w:bottom w:type="dxa" w:w="30"/>
              <w:right w:type="dxa" w:w="120"/>
            </w:tcMar>
          </w:tcPr>
          <w:p>
            <w:pPr>
              <w:spacing w:before="120" w:after="120" w:line="288" w:lineRule="auto"/>
              <w:ind w:left="0"/>
              <w:jc w:val="left"/>
            </w:pPr>
            <w:r>
              <w:rPr>
                <w:rFonts w:eastAsia="等线" w:ascii="Arial" w:cs="Arial" w:hAnsi="Arial"/>
                <w:sz w:val="22"/>
              </w:rPr>
              <w:t>T</w:t>
            </w:r>
          </w:p>
        </w:tc>
        <w:tc>
          <w:tcPr>
            <w:tcW w:w="4575" w:type="dxa"/>
            <w:tcMar>
              <w:top w:type="dxa" w:w="60"/>
              <w:left w:type="dxa" w:w="120"/>
              <w:bottom w:type="dxa" w:w="30"/>
              <w:right w:type="dxa" w:w="120"/>
            </w:tcMar>
          </w:tcPr>
          <w:p>
            <w:pPr>
              <w:spacing w:before="120" w:after="120" w:line="288" w:lineRule="auto"/>
              <w:ind w:left="0"/>
              <w:jc w:val="left"/>
            </w:pPr>
            <w:r>
              <w:rPr>
                <w:rFonts w:eastAsia="等线" w:ascii="Arial" w:cs="Arial" w:hAnsi="Arial"/>
                <w:sz w:val="22"/>
              </w:rPr>
              <w:t>16</w:t>
            </w:r>
          </w:p>
        </w:tc>
      </w:tr>
      <w:tr>
        <w:tc>
          <w:tcPr>
            <w:tcW w:w="2610" w:type="dxa"/>
            <w:tcMar>
              <w:top w:type="dxa" w:w="60"/>
              <w:left w:type="dxa" w:w="120"/>
              <w:bottom w:type="dxa" w:w="30"/>
              <w:right w:type="dxa" w:w="120"/>
            </w:tcMar>
          </w:tcPr>
          <w:p>
            <w:pPr>
              <w:spacing w:before="120" w:after="120" w:line="288" w:lineRule="auto"/>
              <w:ind w:left="0"/>
              <w:jc w:val="left"/>
            </w:pPr>
            <w:r>
              <w:rPr>
                <w:rFonts w:eastAsia="等线" w:ascii="Arial" w:cs="Arial" w:hAnsi="Arial"/>
                <w:sz w:val="22"/>
              </w:rPr>
              <w:t>成套装备外形尺寸（长×宽×高）</w:t>
            </w:r>
          </w:p>
        </w:tc>
        <w:tc>
          <w:tcPr>
            <w:tcW w:w="1095" w:type="dxa"/>
            <w:tcMar>
              <w:top w:type="dxa" w:w="60"/>
              <w:left w:type="dxa" w:w="120"/>
              <w:bottom w:type="dxa" w:w="30"/>
              <w:right w:type="dxa" w:w="120"/>
            </w:tcMar>
          </w:tcPr>
          <w:p>
            <w:pPr>
              <w:spacing w:before="120" w:after="120" w:line="288" w:lineRule="auto"/>
              <w:ind w:left="0"/>
              <w:jc w:val="left"/>
            </w:pPr>
            <w:r>
              <w:rPr>
                <w:rFonts w:eastAsia="等线" w:ascii="Arial" w:cs="Arial" w:hAnsi="Arial"/>
                <w:sz w:val="22"/>
              </w:rPr>
              <w:t>mm</w:t>
            </w:r>
          </w:p>
        </w:tc>
        <w:tc>
          <w:tcPr>
            <w:tcW w:w="4575" w:type="dxa"/>
            <w:tcMar>
              <w:top w:type="dxa" w:w="60"/>
              <w:left w:type="dxa" w:w="120"/>
              <w:bottom w:type="dxa" w:w="30"/>
              <w:right w:type="dxa" w:w="120"/>
            </w:tcMar>
          </w:tcPr>
          <w:p>
            <w:pPr>
              <w:spacing w:before="120" w:after="120" w:line="288" w:lineRule="auto"/>
              <w:ind w:left="0"/>
              <w:jc w:val="left"/>
            </w:pPr>
            <w:r>
              <w:rPr>
                <w:rFonts w:eastAsia="等线" w:ascii="Arial" w:cs="Arial" w:hAnsi="Arial"/>
                <w:sz w:val="22"/>
              </w:rPr>
              <w:t>4200×2200×2100</w:t>
            </w:r>
          </w:p>
        </w:tc>
      </w:tr>
      <w:tr>
        <w:tc>
          <w:tcPr>
            <w:tcW w:w="2610" w:type="dxa"/>
            <w:tcMar>
              <w:top w:type="dxa" w:w="60"/>
              <w:left w:type="dxa" w:w="120"/>
              <w:bottom w:type="dxa" w:w="30"/>
              <w:right w:type="dxa" w:w="120"/>
            </w:tcMar>
          </w:tcPr>
          <w:p>
            <w:pPr>
              <w:spacing w:before="120" w:after="120" w:line="288" w:lineRule="auto"/>
              <w:ind w:left="0"/>
              <w:jc w:val="left"/>
            </w:pPr>
            <w:r>
              <w:rPr>
                <w:rFonts w:eastAsia="等线" w:ascii="Arial" w:cs="Arial" w:hAnsi="Arial"/>
                <w:sz w:val="22"/>
              </w:rPr>
              <w:t>装备工作环境温度</w:t>
            </w:r>
          </w:p>
        </w:tc>
        <w:tc>
          <w:tcPr>
            <w:tcW w:w="1095" w:type="dxa"/>
            <w:tcMar>
              <w:top w:type="dxa" w:w="60"/>
              <w:left w:type="dxa" w:w="120"/>
              <w:bottom w:type="dxa" w:w="30"/>
              <w:right w:type="dxa" w:w="120"/>
            </w:tcMar>
          </w:tcPr>
          <w:p>
            <w:pPr>
              <w:spacing w:before="120" w:after="120" w:line="288" w:lineRule="auto"/>
              <w:ind w:left="0"/>
              <w:jc w:val="left"/>
            </w:pPr>
            <w:r>
              <w:rPr>
                <w:rFonts w:eastAsia="等线" w:ascii="Arial" w:cs="Arial" w:hAnsi="Arial"/>
                <w:sz w:val="22"/>
              </w:rPr>
              <w:t>℃</w:t>
            </w:r>
          </w:p>
        </w:tc>
        <w:tc>
          <w:tcPr>
            <w:tcW w:w="4575" w:type="dxa"/>
            <w:tcMar>
              <w:top w:type="dxa" w:w="60"/>
              <w:left w:type="dxa" w:w="120"/>
              <w:bottom w:type="dxa" w:w="30"/>
              <w:right w:type="dxa" w:w="120"/>
            </w:tcMar>
          </w:tcPr>
          <w:p>
            <w:pPr>
              <w:spacing w:before="120" w:after="120" w:line="288" w:lineRule="auto"/>
              <w:ind w:left="0"/>
              <w:jc w:val="left"/>
            </w:pPr>
            <w:r>
              <w:rPr>
                <w:rFonts w:eastAsia="等线" w:ascii="Arial" w:cs="Arial" w:hAnsi="Arial"/>
                <w:sz w:val="22"/>
              </w:rPr>
              <w:t>22 ±0.5</w:t>
            </w:r>
          </w:p>
        </w:tc>
      </w:tr>
    </w:tbl>
    <w:p>
      <w:pPr>
        <w:pStyle w:val="3"/>
        <w:spacing w:before="300" w:after="120" w:line="288" w:lineRule="auto"/>
        <w:ind w:left="0"/>
        <w:jc w:val="left"/>
        <w:outlineLvl w:val="2"/>
      </w:pPr>
      <w:bookmarkStart w:name="heading_121" w:id="121"/>
      <w:r>
        <w:rPr>
          <w:rFonts w:eastAsia="等线" w:ascii="Arial" w:cs="Arial" w:hAnsi="Arial"/>
          <w:b w:val="true"/>
          <w:sz w:val="30"/>
        </w:rPr>
        <w:t>4.3 成套装备功能要求</w:t>
      </w:r>
      <w:bookmarkEnd w:id="121"/>
    </w:p>
    <w:p>
      <w:pPr>
        <w:spacing w:before="120" w:after="120" w:line="288" w:lineRule="auto"/>
        <w:ind w:left="0"/>
        <w:jc w:val="left"/>
      </w:pPr>
      <w:r>
        <w:rPr>
          <w:rFonts w:eastAsia="等线" w:ascii="Arial" w:cs="Arial" w:hAnsi="Arial"/>
          <w:sz w:val="22"/>
        </w:rPr>
        <w:t>成套装备各单元协同工作，应满足以下全部功能：</w:t>
      </w:r>
    </w:p>
    <w:p>
      <w:pPr>
        <w:spacing w:before="120" w:after="120" w:line="288" w:lineRule="auto"/>
        <w:ind w:left="0"/>
        <w:jc w:val="left"/>
      </w:pPr>
      <w:r>
        <w:rPr>
          <w:rFonts w:eastAsia="等线" w:ascii="Arial" w:cs="Arial" w:hAnsi="Arial"/>
          <w:sz w:val="22"/>
        </w:rPr>
        <w:t>A）主机气浮主轴性能检测参照Q/ZGB 002‑2026执行；</w:t>
      </w:r>
    </w:p>
    <w:p>
      <w:pPr>
        <w:spacing w:before="120" w:after="120" w:line="288" w:lineRule="auto"/>
        <w:ind w:left="0"/>
        <w:jc w:val="left"/>
      </w:pPr>
      <w:r>
        <w:rPr>
          <w:rFonts w:eastAsia="等线" w:ascii="Arial" w:cs="Arial" w:hAnsi="Arial"/>
          <w:sz w:val="22"/>
        </w:rPr>
        <w:t>B）具备单点金刚石超精密切削加工功能；</w:t>
      </w:r>
    </w:p>
    <w:p>
      <w:pPr>
        <w:spacing w:before="120" w:after="120" w:line="288" w:lineRule="auto"/>
        <w:ind w:left="0"/>
        <w:jc w:val="left"/>
      </w:pPr>
      <w:r>
        <w:rPr>
          <w:rFonts w:eastAsia="等线" w:ascii="Arial" w:cs="Arial" w:hAnsi="Arial"/>
          <w:sz w:val="22"/>
        </w:rPr>
        <w:t>C）激光工艺单元实现激光预处理、激光表面后改性；</w:t>
      </w:r>
    </w:p>
    <w:p>
      <w:pPr>
        <w:spacing w:before="120" w:after="120" w:line="288" w:lineRule="auto"/>
        <w:ind w:left="0"/>
        <w:jc w:val="left"/>
      </w:pPr>
      <w:r>
        <w:rPr>
          <w:rFonts w:eastAsia="等线" w:ascii="Arial" w:cs="Arial" w:hAnsi="Arial"/>
          <w:sz w:val="22"/>
        </w:rPr>
        <w:t>D）数控系统实现金刚石切削‑激光改性时序复合联动，工件一次装夹完成多工序；</w:t>
      </w:r>
    </w:p>
    <w:p>
      <w:pPr>
        <w:spacing w:before="120" w:after="120" w:line="288" w:lineRule="auto"/>
        <w:ind w:left="0"/>
        <w:jc w:val="left"/>
      </w:pPr>
      <w:r>
        <w:rPr>
          <w:rFonts w:eastAsia="等线" w:ascii="Arial" w:cs="Arial" w:hAnsi="Arial"/>
          <w:sz w:val="22"/>
        </w:rPr>
        <w:t>E）气源成套单元具备低压、高压、过滤器堵塞报警联锁；</w:t>
      </w:r>
    </w:p>
    <w:p>
      <w:pPr>
        <w:spacing w:before="120" w:after="120" w:line="288" w:lineRule="auto"/>
        <w:ind w:left="0"/>
        <w:jc w:val="left"/>
      </w:pPr>
      <w:r>
        <w:rPr>
          <w:rFonts w:eastAsia="等线" w:ascii="Arial" w:cs="Arial" w:hAnsi="Arial"/>
          <w:sz w:val="22"/>
        </w:rPr>
        <w:t>F）冷却成套单元具备超温、流量异常报警联锁；</w:t>
      </w:r>
    </w:p>
    <w:p>
      <w:pPr>
        <w:spacing w:before="120" w:after="120" w:line="288" w:lineRule="auto"/>
        <w:ind w:left="0"/>
        <w:jc w:val="left"/>
      </w:pPr>
      <w:r>
        <w:rPr>
          <w:rFonts w:eastAsia="等线" w:ascii="Arial" w:cs="Arial" w:hAnsi="Arial"/>
          <w:sz w:val="22"/>
        </w:rPr>
        <w:t>G）配备多套专用工装夹具，可完成辊筒、光学模具工件装夹定位；</w:t>
      </w:r>
    </w:p>
    <w:p>
      <w:pPr>
        <w:spacing w:before="120" w:after="120" w:line="288" w:lineRule="auto"/>
        <w:ind w:left="0"/>
        <w:jc w:val="left"/>
      </w:pPr>
      <w:r>
        <w:rPr>
          <w:rFonts w:eastAsia="等线" w:ascii="Arial" w:cs="Arial" w:hAnsi="Arial"/>
          <w:sz w:val="22"/>
        </w:rPr>
        <w:t>H）配套工艺软件包，内置标准加工工艺模板，支持用户编辑复合加工程序；</w:t>
      </w:r>
    </w:p>
    <w:p>
      <w:pPr>
        <w:spacing w:before="120" w:after="120" w:line="288" w:lineRule="auto"/>
        <w:ind w:left="0"/>
        <w:jc w:val="left"/>
      </w:pPr>
      <w:r>
        <w:rPr>
          <w:rFonts w:eastAsia="等线" w:ascii="Arial" w:cs="Arial" w:hAnsi="Arial"/>
          <w:sz w:val="22"/>
        </w:rPr>
        <w:t>I）激光安全防护舱门联锁，舱门开启强制切断激光输出；</w:t>
      </w:r>
    </w:p>
    <w:p>
      <w:pPr>
        <w:spacing w:before="120" w:after="120" w:line="288" w:lineRule="auto"/>
        <w:ind w:left="0"/>
        <w:jc w:val="left"/>
      </w:pPr>
      <w:r>
        <w:rPr>
          <w:rFonts w:eastAsia="等线" w:ascii="Arial" w:cs="Arial" w:hAnsi="Arial"/>
          <w:sz w:val="22"/>
        </w:rPr>
        <w:t>J）配套检测仪器可用于设备现场精度复核校验。</w:t>
      </w:r>
    </w:p>
    <w:p>
      <w:pPr>
        <w:pStyle w:val="3"/>
        <w:spacing w:before="300" w:after="120" w:line="288" w:lineRule="auto"/>
        <w:ind w:left="0"/>
        <w:jc w:val="left"/>
        <w:outlineLvl w:val="2"/>
      </w:pPr>
      <w:bookmarkStart w:name="heading_122" w:id="122"/>
      <w:r>
        <w:rPr>
          <w:rFonts w:eastAsia="等线" w:ascii="Arial" w:cs="Arial" w:hAnsi="Arial"/>
          <w:b w:val="true"/>
          <w:sz w:val="30"/>
        </w:rPr>
        <w:t>4.4 保护接地要求</w:t>
      </w:r>
      <w:bookmarkEnd w:id="122"/>
    </w:p>
    <w:p>
      <w:pPr>
        <w:spacing w:before="120" w:after="120" w:line="288" w:lineRule="auto"/>
        <w:ind w:left="0"/>
        <w:jc w:val="left"/>
      </w:pPr>
      <w:r>
        <w:rPr>
          <w:rFonts w:eastAsia="等线" w:ascii="Arial" w:cs="Arial" w:hAnsi="Arial"/>
          <w:sz w:val="22"/>
        </w:rPr>
        <w:t>A）成套装备所有单元电气装置外露可导电部分全部接入保护接地电路，保证接地连续性（见GB 5226.1‑2002中第8章）。</w:t>
      </w:r>
    </w:p>
    <w:p>
      <w:pPr>
        <w:spacing w:before="120" w:after="120" w:line="288" w:lineRule="auto"/>
        <w:ind w:left="0"/>
        <w:jc w:val="left"/>
      </w:pPr>
      <w:r>
        <w:rPr>
          <w:rFonts w:eastAsia="等线" w:ascii="Arial" w:cs="Arial" w:hAnsi="Arial"/>
          <w:sz w:val="22"/>
        </w:rPr>
        <w:t>B）装备电源引入端口外部保护导线端子应使用字母标志PE标识，外部保护铜导线最小面积要求见表2（不为铜导线时应使用系数修正）。</w:t>
      </w:r>
    </w:p>
    <w:p>
      <w:pPr>
        <w:spacing w:before="120" w:after="120" w:line="288" w:lineRule="auto"/>
        <w:ind w:left="0"/>
        <w:jc w:val="left"/>
      </w:pPr>
      <w:r>
        <w:rPr>
          <w:rFonts w:eastAsia="等线" w:ascii="Arial" w:cs="Arial" w:hAnsi="Arial"/>
          <w:b w:val="true"/>
          <w:sz w:val="22"/>
        </w:rPr>
        <w:t>表2 外部保护铜导线的最小截面积（单位：平方毫米）</w:t>
      </w:r>
    </w:p>
    <w:tbl>
      <w:tblPr>
        <w:tblW w:w="0" w:type="auto"/>
        <w:tblInd w:w="0" w:type="dxa"/>
        <w:tblBorders>
          <w:top w:val="single" w:color="dee0e3"/>
          <w:left w:val="single" w:color="dee0e3"/>
          <w:bottom w:val="single" w:color="dee0e3"/>
          <w:right w:val="single" w:color="dee0e3"/>
          <w:insideH w:val="single" w:color="dee0e3"/>
          <w:insideV w:val="single" w:color="dee0e3"/>
        </w:tblBorders>
        <w:tblLayout w:type="fixed"/>
      </w:tblPr>
      <w:tblGrid>
        <w:gridCol w:w="4140"/>
        <w:gridCol w:w="4140"/>
      </w:tblGrid>
      <w:tr>
        <w:tc>
          <w:tcPr>
            <w:tcW w:w="4140" w:type="dxa"/>
            <w:tcMar>
              <w:top w:type="dxa" w:w="60"/>
              <w:left w:type="dxa" w:w="120"/>
              <w:bottom w:type="dxa" w:w="30"/>
              <w:right w:type="dxa" w:w="120"/>
            </w:tcMar>
          </w:tcPr>
          <w:p>
            <w:pPr>
              <w:spacing w:before="120" w:after="120" w:line="288" w:lineRule="auto"/>
              <w:ind w:left="0"/>
              <w:jc w:val="left"/>
            </w:pPr>
            <w:r>
              <w:rPr>
                <w:rFonts w:eastAsia="等线" w:ascii="Arial" w:cs="Arial" w:hAnsi="Arial"/>
                <w:sz w:val="22"/>
              </w:rPr>
              <w:t>电源供电相线的截面积 S</w:t>
            </w:r>
          </w:p>
        </w:tc>
        <w:tc>
          <w:tcPr>
            <w:tcW w:w="4140" w:type="dxa"/>
            <w:tcMar>
              <w:top w:type="dxa" w:w="60"/>
              <w:left w:type="dxa" w:w="120"/>
              <w:bottom w:type="dxa" w:w="30"/>
              <w:right w:type="dxa" w:w="120"/>
            </w:tcMar>
          </w:tcPr>
          <w:p>
            <w:pPr>
              <w:spacing w:before="120" w:after="120" w:line="288" w:lineRule="auto"/>
              <w:ind w:left="0"/>
              <w:jc w:val="left"/>
            </w:pPr>
            <w:r>
              <w:rPr>
                <w:rFonts w:eastAsia="等线" w:ascii="Arial" w:cs="Arial" w:hAnsi="Arial"/>
                <w:sz w:val="22"/>
              </w:rPr>
              <w:t>外部保护导线的最小截面积 Sp</w:t>
            </w:r>
          </w:p>
        </w:tc>
      </w:tr>
      <w:tr>
        <w:tc>
          <w:tcPr>
            <w:tcW w:w="4140" w:type="dxa"/>
            <w:tcMar>
              <w:top w:type="dxa" w:w="60"/>
              <w:left w:type="dxa" w:w="120"/>
              <w:bottom w:type="dxa" w:w="30"/>
              <w:right w:type="dxa" w:w="120"/>
            </w:tcMar>
          </w:tcPr>
          <w:p>
            <w:pPr>
              <w:spacing w:before="120" w:after="120" w:line="288" w:lineRule="auto"/>
              <w:ind w:left="0"/>
              <w:jc w:val="left"/>
            </w:pPr>
            <w:r>
              <w:rPr>
                <w:rFonts w:eastAsia="等线" w:ascii="Arial" w:cs="Arial" w:hAnsi="Arial"/>
                <w:sz w:val="22"/>
              </w:rPr>
              <w:t>S ≤16</w:t>
            </w:r>
          </w:p>
        </w:tc>
        <w:tc>
          <w:tcPr>
            <w:tcW w:w="4140" w:type="dxa"/>
            <w:tcMar>
              <w:top w:type="dxa" w:w="60"/>
              <w:left w:type="dxa" w:w="120"/>
              <w:bottom w:type="dxa" w:w="30"/>
              <w:right w:type="dxa" w:w="120"/>
            </w:tcMar>
          </w:tcPr>
          <w:p>
            <w:pPr>
              <w:spacing w:before="120" w:after="120" w:line="288" w:lineRule="auto"/>
              <w:ind w:left="0"/>
              <w:jc w:val="left"/>
            </w:pPr>
            <w:r>
              <w:rPr>
                <w:rFonts w:eastAsia="等线" w:ascii="Arial" w:cs="Arial" w:hAnsi="Arial"/>
                <w:sz w:val="22"/>
              </w:rPr>
              <w:t>S</w:t>
            </w:r>
          </w:p>
        </w:tc>
      </w:tr>
      <w:tr>
        <w:tc>
          <w:tcPr>
            <w:tcW w:w="4140" w:type="dxa"/>
            <w:tcMar>
              <w:top w:type="dxa" w:w="60"/>
              <w:left w:type="dxa" w:w="120"/>
              <w:bottom w:type="dxa" w:w="30"/>
              <w:right w:type="dxa" w:w="120"/>
            </w:tcMar>
          </w:tcPr>
          <w:p>
            <w:pPr>
              <w:spacing w:before="120" w:after="120" w:line="288" w:lineRule="auto"/>
              <w:ind w:left="0"/>
              <w:jc w:val="left"/>
            </w:pPr>
            <w:r>
              <w:rPr>
                <w:rFonts w:eastAsia="等线" w:ascii="Arial" w:cs="Arial" w:hAnsi="Arial"/>
                <w:sz w:val="22"/>
              </w:rPr>
              <w:t>16＜S ≤35</w:t>
            </w:r>
          </w:p>
        </w:tc>
        <w:tc>
          <w:tcPr>
            <w:tcW w:w="4140" w:type="dxa"/>
            <w:tcMar>
              <w:top w:type="dxa" w:w="60"/>
              <w:left w:type="dxa" w:w="120"/>
              <w:bottom w:type="dxa" w:w="30"/>
              <w:right w:type="dxa" w:w="120"/>
            </w:tcMar>
          </w:tcPr>
          <w:p>
            <w:pPr>
              <w:spacing w:before="120" w:after="120" w:line="288" w:lineRule="auto"/>
              <w:ind w:left="0"/>
              <w:jc w:val="left"/>
            </w:pPr>
            <w:r>
              <w:rPr>
                <w:rFonts w:eastAsia="等线" w:ascii="Arial" w:cs="Arial" w:hAnsi="Arial"/>
                <w:sz w:val="22"/>
              </w:rPr>
              <w:t>16</w:t>
            </w:r>
          </w:p>
        </w:tc>
      </w:tr>
      <w:tr>
        <w:tc>
          <w:tcPr>
            <w:tcW w:w="4140" w:type="dxa"/>
            <w:tcMar>
              <w:top w:type="dxa" w:w="60"/>
              <w:left w:type="dxa" w:w="120"/>
              <w:bottom w:type="dxa" w:w="30"/>
              <w:right w:type="dxa" w:w="120"/>
            </w:tcMar>
          </w:tcPr>
          <w:p>
            <w:pPr>
              <w:spacing w:before="120" w:after="120" w:line="288" w:lineRule="auto"/>
              <w:ind w:left="0"/>
              <w:jc w:val="left"/>
            </w:pPr>
            <w:r>
              <w:rPr>
                <w:rFonts w:eastAsia="等线" w:ascii="Arial" w:cs="Arial" w:hAnsi="Arial"/>
                <w:sz w:val="22"/>
              </w:rPr>
              <w:t>S＞35</w:t>
            </w:r>
          </w:p>
        </w:tc>
        <w:tc>
          <w:tcPr>
            <w:tcW w:w="4140" w:type="dxa"/>
            <w:tcMar>
              <w:top w:type="dxa" w:w="60"/>
              <w:left w:type="dxa" w:w="120"/>
              <w:bottom w:type="dxa" w:w="30"/>
              <w:right w:type="dxa" w:w="120"/>
            </w:tcMar>
          </w:tcPr>
          <w:p>
            <w:pPr>
              <w:spacing w:before="120" w:after="120" w:line="288" w:lineRule="auto"/>
              <w:ind w:left="0"/>
              <w:jc w:val="left"/>
            </w:pPr>
            <w:r>
              <w:rPr>
                <w:rFonts w:eastAsia="等线" w:ascii="Arial" w:cs="Arial" w:hAnsi="Arial"/>
                <w:sz w:val="22"/>
              </w:rPr>
              <w:t>S/2</w:t>
            </w:r>
          </w:p>
        </w:tc>
      </w:tr>
    </w:tbl>
    <w:p>
      <w:pPr>
        <w:spacing w:before="120" w:after="120" w:line="288" w:lineRule="auto"/>
        <w:ind w:left="0"/>
        <w:jc w:val="left"/>
      </w:pPr>
      <w:r>
        <w:rPr>
          <w:rFonts w:eastAsia="等线" w:ascii="Arial" w:cs="Arial" w:hAnsi="Arial"/>
          <w:sz w:val="22"/>
        </w:rPr>
        <w:t>所有保护导线应进行端子连接，且一个端子只能连接1根保护导线。每个保护导线接点都应有接地符号标记。保护导线采用“黄/绿双色”导线。</w:t>
      </w:r>
    </w:p>
    <w:p>
      <w:pPr>
        <w:spacing w:before="120" w:after="120" w:line="288" w:lineRule="auto"/>
        <w:ind w:left="0"/>
        <w:jc w:val="left"/>
      </w:pPr>
      <w:r>
        <w:rPr>
          <w:rFonts w:eastAsia="等线" w:ascii="Arial" w:cs="Arial" w:hAnsi="Arial"/>
          <w:sz w:val="22"/>
        </w:rPr>
        <w:t>保护接地电路的连续性应符合GB 5226.1‑2002的19.2的规定，保护总接地端子PE到各测试点间的实测电压降不应超过表3所规定的值。</w:t>
      </w:r>
    </w:p>
    <w:p>
      <w:pPr>
        <w:spacing w:before="120" w:after="120" w:line="288" w:lineRule="auto"/>
        <w:ind w:left="0"/>
        <w:jc w:val="left"/>
      </w:pPr>
      <w:r>
        <w:rPr>
          <w:rFonts w:eastAsia="等线" w:ascii="Arial" w:cs="Arial" w:hAnsi="Arial"/>
          <w:b w:val="true"/>
          <w:sz w:val="22"/>
        </w:rPr>
        <w:t>表3 保护接地电路连续性的条件</w:t>
      </w:r>
    </w:p>
    <w:tbl>
      <w:tblPr>
        <w:tblW w:w="0" w:type="auto"/>
        <w:tblInd w:w="0" w:type="dxa"/>
        <w:tblBorders>
          <w:top w:val="single" w:color="dee0e3"/>
          <w:left w:val="single" w:color="dee0e3"/>
          <w:bottom w:val="single" w:color="dee0e3"/>
          <w:right w:val="single" w:color="dee0e3"/>
          <w:insideH w:val="single" w:color="dee0e3"/>
          <w:insideV w:val="single" w:color="dee0e3"/>
        </w:tblBorders>
        <w:tblLayout w:type="fixed"/>
      </w:tblPr>
      <w:tblGrid>
        <w:gridCol w:w="4140"/>
        <w:gridCol w:w="4140"/>
      </w:tblGrid>
      <w:tr>
        <w:tc>
          <w:tcPr>
            <w:tcW w:w="4140" w:type="dxa"/>
            <w:tcMar>
              <w:top w:type="dxa" w:w="60"/>
              <w:left w:type="dxa" w:w="120"/>
              <w:bottom w:type="dxa" w:w="30"/>
              <w:right w:type="dxa" w:w="120"/>
            </w:tcMar>
          </w:tcPr>
          <w:p>
            <w:pPr>
              <w:spacing w:before="120" w:after="120" w:line="288" w:lineRule="auto"/>
              <w:ind w:left="0"/>
              <w:jc w:val="left"/>
            </w:pPr>
            <w:r>
              <w:rPr>
                <w:rFonts w:eastAsia="等线" w:ascii="Arial" w:cs="Arial" w:hAnsi="Arial"/>
                <w:sz w:val="22"/>
              </w:rPr>
              <w:t>被测保护导线支路最小有效截面积 mm²</w:t>
            </w:r>
          </w:p>
        </w:tc>
        <w:tc>
          <w:tcPr>
            <w:tcW w:w="4140" w:type="dxa"/>
            <w:tcMar>
              <w:top w:type="dxa" w:w="60"/>
              <w:left w:type="dxa" w:w="120"/>
              <w:bottom w:type="dxa" w:w="30"/>
              <w:right w:type="dxa" w:w="120"/>
            </w:tcMar>
          </w:tcPr>
          <w:p>
            <w:pPr>
              <w:spacing w:before="120" w:after="120" w:line="288" w:lineRule="auto"/>
              <w:ind w:left="0"/>
              <w:jc w:val="left"/>
            </w:pPr>
            <w:r>
              <w:rPr>
                <w:rFonts w:eastAsia="等线" w:ascii="Arial" w:cs="Arial" w:hAnsi="Arial"/>
                <w:sz w:val="22"/>
              </w:rPr>
              <w:t>最大的实测电压降(对应测试电流为10A的值) V</w:t>
            </w:r>
          </w:p>
        </w:tc>
      </w:tr>
      <w:tr>
        <w:tc>
          <w:tcPr>
            <w:tcW w:w="4140" w:type="dxa"/>
            <w:tcMar>
              <w:top w:type="dxa" w:w="60"/>
              <w:left w:type="dxa" w:w="120"/>
              <w:bottom w:type="dxa" w:w="30"/>
              <w:right w:type="dxa" w:w="120"/>
            </w:tcMar>
          </w:tcPr>
          <w:p>
            <w:pPr>
              <w:spacing w:before="120" w:after="120" w:line="288" w:lineRule="auto"/>
              <w:ind w:left="0"/>
              <w:jc w:val="left"/>
            </w:pPr>
            <w:r>
              <w:rPr>
                <w:rFonts w:eastAsia="等线" w:ascii="Arial" w:cs="Arial" w:hAnsi="Arial"/>
                <w:sz w:val="22"/>
              </w:rPr>
              <w:t>1.0</w:t>
            </w:r>
          </w:p>
        </w:tc>
        <w:tc>
          <w:tcPr>
            <w:tcW w:w="4140" w:type="dxa"/>
            <w:tcMar>
              <w:top w:type="dxa" w:w="60"/>
              <w:left w:type="dxa" w:w="120"/>
              <w:bottom w:type="dxa" w:w="30"/>
              <w:right w:type="dxa" w:w="120"/>
            </w:tcMar>
          </w:tcPr>
          <w:p>
            <w:pPr>
              <w:spacing w:before="120" w:after="120" w:line="288" w:lineRule="auto"/>
              <w:ind w:left="0"/>
              <w:jc w:val="left"/>
            </w:pPr>
            <w:r>
              <w:rPr>
                <w:rFonts w:eastAsia="等线" w:ascii="Arial" w:cs="Arial" w:hAnsi="Arial"/>
                <w:sz w:val="22"/>
              </w:rPr>
              <w:t>3.3</w:t>
            </w:r>
          </w:p>
        </w:tc>
      </w:tr>
      <w:tr>
        <w:tc>
          <w:tcPr>
            <w:tcW w:w="4140" w:type="dxa"/>
            <w:tcMar>
              <w:top w:type="dxa" w:w="60"/>
              <w:left w:type="dxa" w:w="120"/>
              <w:bottom w:type="dxa" w:w="30"/>
              <w:right w:type="dxa" w:w="120"/>
            </w:tcMar>
          </w:tcPr>
          <w:p>
            <w:pPr>
              <w:spacing w:before="120" w:after="120" w:line="288" w:lineRule="auto"/>
              <w:ind w:left="0"/>
              <w:jc w:val="left"/>
            </w:pPr>
            <w:r>
              <w:rPr>
                <w:rFonts w:eastAsia="等线" w:ascii="Arial" w:cs="Arial" w:hAnsi="Arial"/>
                <w:sz w:val="22"/>
              </w:rPr>
              <w:t>1.5</w:t>
            </w:r>
          </w:p>
        </w:tc>
        <w:tc>
          <w:tcPr>
            <w:tcW w:w="4140" w:type="dxa"/>
            <w:tcMar>
              <w:top w:type="dxa" w:w="60"/>
              <w:left w:type="dxa" w:w="120"/>
              <w:bottom w:type="dxa" w:w="30"/>
              <w:right w:type="dxa" w:w="120"/>
            </w:tcMar>
          </w:tcPr>
          <w:p>
            <w:pPr>
              <w:spacing w:before="120" w:after="120" w:line="288" w:lineRule="auto"/>
              <w:ind w:left="0"/>
              <w:jc w:val="left"/>
            </w:pPr>
            <w:r>
              <w:rPr>
                <w:rFonts w:eastAsia="等线" w:ascii="Arial" w:cs="Arial" w:hAnsi="Arial"/>
                <w:sz w:val="22"/>
              </w:rPr>
              <w:t>2.6</w:t>
            </w:r>
          </w:p>
        </w:tc>
      </w:tr>
      <w:tr>
        <w:tc>
          <w:tcPr>
            <w:tcW w:w="4140" w:type="dxa"/>
            <w:tcMar>
              <w:top w:type="dxa" w:w="60"/>
              <w:left w:type="dxa" w:w="120"/>
              <w:bottom w:type="dxa" w:w="30"/>
              <w:right w:type="dxa" w:w="120"/>
            </w:tcMar>
          </w:tcPr>
          <w:p>
            <w:pPr>
              <w:spacing w:before="120" w:after="120" w:line="288" w:lineRule="auto"/>
              <w:ind w:left="0"/>
              <w:jc w:val="left"/>
            </w:pPr>
            <w:r>
              <w:rPr>
                <w:rFonts w:eastAsia="等线" w:ascii="Arial" w:cs="Arial" w:hAnsi="Arial"/>
                <w:sz w:val="22"/>
              </w:rPr>
              <w:t>2.5</w:t>
            </w:r>
          </w:p>
        </w:tc>
        <w:tc>
          <w:tcPr>
            <w:tcW w:w="4140" w:type="dxa"/>
            <w:tcMar>
              <w:top w:type="dxa" w:w="60"/>
              <w:left w:type="dxa" w:w="120"/>
              <w:bottom w:type="dxa" w:w="30"/>
              <w:right w:type="dxa" w:w="120"/>
            </w:tcMar>
          </w:tcPr>
          <w:p>
            <w:pPr>
              <w:spacing w:before="120" w:after="120" w:line="288" w:lineRule="auto"/>
              <w:ind w:left="0"/>
              <w:jc w:val="left"/>
            </w:pPr>
            <w:r>
              <w:rPr>
                <w:rFonts w:eastAsia="等线" w:ascii="Arial" w:cs="Arial" w:hAnsi="Arial"/>
                <w:sz w:val="22"/>
              </w:rPr>
              <w:t>1.9</w:t>
            </w:r>
          </w:p>
        </w:tc>
      </w:tr>
      <w:tr>
        <w:tc>
          <w:tcPr>
            <w:tcW w:w="4140" w:type="dxa"/>
            <w:tcMar>
              <w:top w:type="dxa" w:w="60"/>
              <w:left w:type="dxa" w:w="120"/>
              <w:bottom w:type="dxa" w:w="30"/>
              <w:right w:type="dxa" w:w="120"/>
            </w:tcMar>
          </w:tcPr>
          <w:p>
            <w:pPr>
              <w:spacing w:before="120" w:after="120" w:line="288" w:lineRule="auto"/>
              <w:ind w:left="0"/>
              <w:jc w:val="left"/>
            </w:pPr>
            <w:r>
              <w:rPr>
                <w:rFonts w:eastAsia="等线" w:ascii="Arial" w:cs="Arial" w:hAnsi="Arial"/>
                <w:sz w:val="22"/>
              </w:rPr>
              <w:t>4.0</w:t>
            </w:r>
          </w:p>
        </w:tc>
        <w:tc>
          <w:tcPr>
            <w:tcW w:w="4140" w:type="dxa"/>
            <w:tcMar>
              <w:top w:type="dxa" w:w="60"/>
              <w:left w:type="dxa" w:w="120"/>
              <w:bottom w:type="dxa" w:w="30"/>
              <w:right w:type="dxa" w:w="120"/>
            </w:tcMar>
          </w:tcPr>
          <w:p>
            <w:pPr>
              <w:spacing w:before="120" w:after="120" w:line="288" w:lineRule="auto"/>
              <w:ind w:left="0"/>
              <w:jc w:val="left"/>
            </w:pPr>
            <w:r>
              <w:rPr>
                <w:rFonts w:eastAsia="等线" w:ascii="Arial" w:cs="Arial" w:hAnsi="Arial"/>
                <w:sz w:val="22"/>
              </w:rPr>
              <w:t>1.4</w:t>
            </w:r>
          </w:p>
        </w:tc>
      </w:tr>
    </w:tbl>
    <w:p>
      <w:pPr>
        <w:spacing w:before="120" w:after="120" w:line="288" w:lineRule="auto"/>
        <w:ind w:left="0"/>
        <w:jc w:val="left"/>
      </w:pPr>
      <w:r>
        <w:rPr>
          <w:rFonts w:eastAsia="等线" w:ascii="Arial" w:cs="Arial" w:hAnsi="Arial"/>
          <w:sz w:val="22"/>
        </w:rPr>
        <w:t>保护接地电路只有在通电导线全部断开之后再断开。</w:t>
      </w:r>
    </w:p>
    <w:p>
      <w:pPr>
        <w:spacing w:before="120" w:after="120" w:line="288" w:lineRule="auto"/>
        <w:ind w:left="0"/>
        <w:jc w:val="left"/>
      </w:pPr>
      <w:r>
        <w:rPr>
          <w:rFonts w:eastAsia="等线" w:ascii="Arial" w:cs="Arial" w:hAnsi="Arial"/>
          <w:sz w:val="22"/>
        </w:rPr>
        <w:t>保护接地电路连续性的重新建立应在所有通电导线重新接通之前。</w:t>
      </w:r>
    </w:p>
    <w:p>
      <w:pPr>
        <w:pStyle w:val="3"/>
        <w:spacing w:before="300" w:after="120" w:line="288" w:lineRule="auto"/>
        <w:ind w:left="0"/>
        <w:jc w:val="left"/>
        <w:outlineLvl w:val="2"/>
      </w:pPr>
      <w:bookmarkStart w:name="heading_123" w:id="123"/>
      <w:r>
        <w:rPr>
          <w:rFonts w:eastAsia="等线" w:ascii="Arial" w:cs="Arial" w:hAnsi="Arial"/>
          <w:b w:val="true"/>
          <w:sz w:val="30"/>
        </w:rPr>
        <w:t>4.5 绝缘电阻要求</w:t>
      </w:r>
      <w:bookmarkEnd w:id="123"/>
    </w:p>
    <w:p>
      <w:pPr>
        <w:spacing w:before="120" w:after="120" w:line="288" w:lineRule="auto"/>
        <w:ind w:left="0"/>
        <w:jc w:val="left"/>
      </w:pPr>
      <w:r>
        <w:rPr>
          <w:rFonts w:eastAsia="等线" w:ascii="Arial" w:cs="Arial" w:hAnsi="Arial"/>
          <w:sz w:val="22"/>
        </w:rPr>
        <w:t>A）成套装备在正常试验条件及极限低温条件下，连接外部电源电路和保护接地电路间施加DC‑500V时测得的绝缘电阻应大于20MΩ。</w:t>
      </w:r>
    </w:p>
    <w:p>
      <w:pPr>
        <w:spacing w:before="120" w:after="120" w:line="288" w:lineRule="auto"/>
        <w:ind w:left="0"/>
        <w:jc w:val="left"/>
      </w:pPr>
      <w:r>
        <w:rPr>
          <w:rFonts w:eastAsia="等线" w:ascii="Arial" w:cs="Arial" w:hAnsi="Arial"/>
          <w:sz w:val="22"/>
        </w:rPr>
        <w:t>B）在高温条件下，连接外部电源电路和保护接地电路间施加DC‑500V时测得的绝缘电阻应大于10MΩ。</w:t>
      </w:r>
    </w:p>
    <w:p>
      <w:pPr>
        <w:spacing w:before="120" w:after="120" w:line="288" w:lineRule="auto"/>
        <w:ind w:left="0"/>
        <w:jc w:val="left"/>
      </w:pPr>
      <w:r>
        <w:rPr>
          <w:rFonts w:eastAsia="等线" w:ascii="Arial" w:cs="Arial" w:hAnsi="Arial"/>
          <w:sz w:val="22"/>
        </w:rPr>
        <w:t>C）成套装备在恒定湿热试验后，连接外部电源电路和保护接地电路间施加DC‑500V时测得的绝缘电阻应大于1MΩ。</w:t>
      </w:r>
    </w:p>
    <w:p>
      <w:pPr>
        <w:pStyle w:val="3"/>
        <w:spacing w:before="300" w:after="120" w:line="288" w:lineRule="auto"/>
        <w:ind w:left="0"/>
        <w:jc w:val="left"/>
        <w:outlineLvl w:val="2"/>
      </w:pPr>
      <w:bookmarkStart w:name="heading_124" w:id="124"/>
      <w:r>
        <w:rPr>
          <w:rFonts w:eastAsia="等线" w:ascii="Arial" w:cs="Arial" w:hAnsi="Arial"/>
          <w:b w:val="true"/>
          <w:sz w:val="30"/>
        </w:rPr>
        <w:t>4.6 防火、激光安全及非金属材料阻燃性能要求</w:t>
      </w:r>
      <w:bookmarkEnd w:id="124"/>
    </w:p>
    <w:p>
      <w:pPr>
        <w:spacing w:before="120" w:after="120" w:line="288" w:lineRule="auto"/>
        <w:ind w:left="0"/>
        <w:jc w:val="left"/>
      </w:pPr>
      <w:r>
        <w:rPr>
          <w:rFonts w:eastAsia="等线" w:ascii="Arial" w:cs="Arial" w:hAnsi="Arial"/>
          <w:sz w:val="22"/>
        </w:rPr>
        <w:t>A）成套装备各单元具备异常温度升高防火保护；激光单元具备过温、过功率保护；气源、冷却单元具备故障报警。</w:t>
      </w:r>
    </w:p>
    <w:p>
      <w:pPr>
        <w:spacing w:before="120" w:after="120" w:line="288" w:lineRule="auto"/>
        <w:ind w:left="0"/>
        <w:jc w:val="left"/>
      </w:pPr>
      <w:r>
        <w:rPr>
          <w:rFonts w:eastAsia="等线" w:ascii="Arial" w:cs="Arial" w:hAnsi="Arial"/>
          <w:sz w:val="22"/>
        </w:rPr>
        <w:t>B）激光加工舱具备安全联锁，舱门开启激光强制切断，满足激光设备安全防护要求。</w:t>
      </w:r>
    </w:p>
    <w:p>
      <w:pPr>
        <w:spacing w:before="120" w:after="120" w:line="288" w:lineRule="auto"/>
        <w:ind w:left="0"/>
        <w:jc w:val="left"/>
      </w:pPr>
      <w:r>
        <w:rPr>
          <w:rFonts w:eastAsia="等线" w:ascii="Arial" w:cs="Arial" w:hAnsi="Arial"/>
          <w:sz w:val="22"/>
        </w:rPr>
        <w:t>C）非金属外壳材料阻燃等级V‑0，内部非金属零部件阻燃V‑2（GB/T 5169.16‑2008第9章）。</w:t>
      </w:r>
    </w:p>
    <w:p>
      <w:pPr>
        <w:pStyle w:val="3"/>
        <w:spacing w:before="300" w:after="120" w:line="288" w:lineRule="auto"/>
        <w:ind w:left="0"/>
        <w:jc w:val="left"/>
        <w:outlineLvl w:val="2"/>
      </w:pPr>
      <w:bookmarkStart w:name="heading_125" w:id="125"/>
      <w:r>
        <w:rPr>
          <w:rFonts w:eastAsia="等线" w:ascii="Arial" w:cs="Arial" w:hAnsi="Arial"/>
          <w:b w:val="true"/>
          <w:sz w:val="30"/>
        </w:rPr>
        <w:t>4.7 贮存、运输耐干热耐干冷要求</w:t>
      </w:r>
      <w:bookmarkEnd w:id="125"/>
    </w:p>
    <w:p>
      <w:pPr>
        <w:spacing w:before="120" w:after="120" w:line="288" w:lineRule="auto"/>
        <w:ind w:left="0"/>
        <w:jc w:val="left"/>
      </w:pPr>
      <w:r>
        <w:rPr>
          <w:rFonts w:eastAsia="等线" w:ascii="Arial" w:cs="Arial" w:hAnsi="Arial"/>
          <w:sz w:val="22"/>
        </w:rPr>
        <w:t>成套装备（含所有配套单元、工装、仪器）贮存运输允许的气候条件：</w:t>
      </w:r>
    </w:p>
    <w:p>
      <w:pPr>
        <w:spacing w:before="120" w:after="120" w:line="288" w:lineRule="auto"/>
        <w:ind w:left="0"/>
        <w:jc w:val="left"/>
      </w:pPr>
      <w:r>
        <w:rPr>
          <w:rFonts w:eastAsia="等线" w:ascii="Arial" w:cs="Arial" w:hAnsi="Arial"/>
          <w:sz w:val="22"/>
        </w:rPr>
        <w:t>A）环境温度：‑40℃~+70℃；长期贮存温度‑25℃~+55℃；</w:t>
      </w:r>
    </w:p>
    <w:p>
      <w:pPr>
        <w:spacing w:before="120" w:after="120" w:line="288" w:lineRule="auto"/>
        <w:ind w:left="0"/>
        <w:jc w:val="left"/>
      </w:pPr>
      <w:r>
        <w:rPr>
          <w:rFonts w:eastAsia="等线" w:ascii="Arial" w:cs="Arial" w:hAnsi="Arial"/>
          <w:sz w:val="22"/>
        </w:rPr>
        <w:t>B）相对湿度：10%~95%，无凝露；</w:t>
      </w:r>
    </w:p>
    <w:p>
      <w:pPr>
        <w:spacing w:before="120" w:after="120" w:line="288" w:lineRule="auto"/>
        <w:ind w:left="0"/>
        <w:jc w:val="left"/>
      </w:pPr>
      <w:r>
        <w:rPr>
          <w:rFonts w:eastAsia="等线" w:ascii="Arial" w:cs="Arial" w:hAnsi="Arial"/>
          <w:sz w:val="22"/>
        </w:rPr>
        <w:t>C）大气压强：70kPa~106kPa（海拔高度0m~3000m）。</w:t>
      </w:r>
    </w:p>
    <w:p>
      <w:pPr>
        <w:pStyle w:val="3"/>
        <w:spacing w:before="300" w:after="120" w:line="288" w:lineRule="auto"/>
        <w:ind w:left="0"/>
        <w:jc w:val="left"/>
        <w:outlineLvl w:val="2"/>
      </w:pPr>
      <w:bookmarkStart w:name="heading_126" w:id="126"/>
      <w:r>
        <w:rPr>
          <w:rFonts w:eastAsia="等线" w:ascii="Arial" w:cs="Arial" w:hAnsi="Arial"/>
          <w:b w:val="true"/>
          <w:sz w:val="30"/>
        </w:rPr>
        <w:t>4.8 运行工作环境要求</w:t>
      </w:r>
      <w:bookmarkEnd w:id="126"/>
    </w:p>
    <w:p>
      <w:pPr>
        <w:spacing w:before="120" w:after="120" w:line="288" w:lineRule="auto"/>
        <w:ind w:left="0"/>
        <w:jc w:val="left"/>
      </w:pPr>
      <w:r>
        <w:rPr>
          <w:rFonts w:eastAsia="等线" w:ascii="Arial" w:cs="Arial" w:hAnsi="Arial"/>
          <w:sz w:val="22"/>
        </w:rPr>
        <w:t>成套装备整机应在下列气候条件下整套正常协同工作：</w:t>
      </w:r>
    </w:p>
    <w:p>
      <w:pPr>
        <w:spacing w:before="120" w:after="120" w:line="288" w:lineRule="auto"/>
        <w:ind w:left="0"/>
        <w:jc w:val="left"/>
      </w:pPr>
      <w:r>
        <w:rPr>
          <w:rFonts w:eastAsia="等线" w:ascii="Arial" w:cs="Arial" w:hAnsi="Arial"/>
          <w:sz w:val="22"/>
        </w:rPr>
        <w:t>A）环境温度：22±0.5℃；</w:t>
      </w:r>
    </w:p>
    <w:p>
      <w:pPr>
        <w:spacing w:before="120" w:after="120" w:line="288" w:lineRule="auto"/>
        <w:ind w:left="0"/>
        <w:jc w:val="left"/>
      </w:pPr>
      <w:r>
        <w:rPr>
          <w:rFonts w:eastAsia="等线" w:ascii="Arial" w:cs="Arial" w:hAnsi="Arial"/>
          <w:sz w:val="22"/>
        </w:rPr>
        <w:t>B）相对湿度：30%~95%，无凝霜；</w:t>
      </w:r>
    </w:p>
    <w:p>
      <w:pPr>
        <w:spacing w:before="120" w:after="120" w:line="288" w:lineRule="auto"/>
        <w:ind w:left="0"/>
        <w:jc w:val="left"/>
      </w:pPr>
      <w:r>
        <w:rPr>
          <w:rFonts w:eastAsia="等线" w:ascii="Arial" w:cs="Arial" w:hAnsi="Arial"/>
          <w:sz w:val="22"/>
        </w:rPr>
        <w:t>C）大气压强：86kPa~106kPa。</w:t>
      </w:r>
    </w:p>
    <w:p>
      <w:pPr>
        <w:pStyle w:val="2"/>
        <w:spacing w:before="320" w:after="120" w:line="288" w:lineRule="auto"/>
        <w:ind w:left="0"/>
        <w:jc w:val="left"/>
        <w:outlineLvl w:val="1"/>
      </w:pPr>
      <w:bookmarkStart w:name="heading_127" w:id="127"/>
      <w:r>
        <w:rPr>
          <w:rFonts w:eastAsia="等线" w:ascii="Arial" w:cs="Arial" w:hAnsi="Arial"/>
          <w:b w:val="true"/>
          <w:sz w:val="32"/>
        </w:rPr>
        <w:t>5 试验方法</w:t>
      </w:r>
      <w:bookmarkEnd w:id="127"/>
    </w:p>
    <w:p>
      <w:pPr>
        <w:spacing w:before="120" w:after="120" w:line="288" w:lineRule="auto"/>
        <w:ind w:left="0"/>
        <w:jc w:val="left"/>
      </w:pPr>
      <w:r>
        <w:rPr>
          <w:rFonts w:eastAsia="等线" w:ascii="Arial" w:cs="Arial" w:hAnsi="Arial"/>
          <w:sz w:val="22"/>
        </w:rPr>
        <w:t>本标准试验针对完整成套装备，不是仅测试单台主机，需要各配套单元全部联机联调完成测试。</w:t>
      </w:r>
    </w:p>
    <w:p>
      <w:pPr>
        <w:pStyle w:val="3"/>
        <w:spacing w:before="300" w:after="120" w:line="288" w:lineRule="auto"/>
        <w:ind w:left="0"/>
        <w:jc w:val="left"/>
        <w:outlineLvl w:val="2"/>
      </w:pPr>
      <w:bookmarkStart w:name="heading_128" w:id="128"/>
      <w:r>
        <w:rPr>
          <w:rFonts w:eastAsia="等线" w:ascii="Arial" w:cs="Arial" w:hAnsi="Arial"/>
          <w:b w:val="true"/>
          <w:sz w:val="30"/>
        </w:rPr>
        <w:t>5.1 试验环境</w:t>
      </w:r>
      <w:bookmarkEnd w:id="128"/>
    </w:p>
    <w:p>
      <w:pPr>
        <w:spacing w:before="120" w:after="120" w:line="288" w:lineRule="auto"/>
        <w:ind w:left="0"/>
        <w:jc w:val="left"/>
      </w:pPr>
      <w:r>
        <w:rPr>
          <w:rFonts w:eastAsia="等线" w:ascii="Arial" w:cs="Arial" w:hAnsi="Arial"/>
          <w:sz w:val="22"/>
        </w:rPr>
        <w:t>成套装备整机检验环境条件：</w:t>
      </w:r>
    </w:p>
    <w:p>
      <w:pPr>
        <w:spacing w:before="120" w:after="120" w:line="288" w:lineRule="auto"/>
        <w:ind w:left="0"/>
        <w:jc w:val="left"/>
      </w:pPr>
      <w:r>
        <w:rPr>
          <w:rFonts w:eastAsia="等线" w:ascii="Arial" w:cs="Arial" w:hAnsi="Arial"/>
          <w:sz w:val="22"/>
        </w:rPr>
        <w:t>A）环境温度：22±0.5℃；</w:t>
      </w:r>
    </w:p>
    <w:p>
      <w:pPr>
        <w:spacing w:before="120" w:after="120" w:line="288" w:lineRule="auto"/>
        <w:ind w:left="0"/>
        <w:jc w:val="left"/>
      </w:pPr>
      <w:r>
        <w:rPr>
          <w:rFonts w:eastAsia="等线" w:ascii="Arial" w:cs="Arial" w:hAnsi="Arial"/>
          <w:sz w:val="22"/>
        </w:rPr>
        <w:t>B）相对湿度：30%~95%，无凝霜；</w:t>
      </w:r>
    </w:p>
    <w:p>
      <w:pPr>
        <w:spacing w:before="120" w:after="120" w:line="288" w:lineRule="auto"/>
        <w:ind w:left="0"/>
        <w:jc w:val="left"/>
      </w:pPr>
      <w:r>
        <w:rPr>
          <w:rFonts w:eastAsia="等线" w:ascii="Arial" w:cs="Arial" w:hAnsi="Arial"/>
          <w:sz w:val="22"/>
        </w:rPr>
        <w:t>C）大气压强：86kPa~106kPa。</w:t>
      </w:r>
    </w:p>
    <w:p>
      <w:pPr>
        <w:pStyle w:val="3"/>
        <w:spacing w:before="300" w:after="120" w:line="288" w:lineRule="auto"/>
        <w:ind w:left="0"/>
        <w:jc w:val="left"/>
        <w:outlineLvl w:val="2"/>
      </w:pPr>
      <w:bookmarkStart w:name="heading_129" w:id="129"/>
      <w:r>
        <w:rPr>
          <w:rFonts w:eastAsia="等线" w:ascii="Arial" w:cs="Arial" w:hAnsi="Arial"/>
          <w:b w:val="true"/>
          <w:sz w:val="30"/>
        </w:rPr>
        <w:t>5.2 成套装备配套完整性检查</w:t>
      </w:r>
      <w:bookmarkEnd w:id="129"/>
    </w:p>
    <w:p>
      <w:pPr>
        <w:spacing w:before="120" w:after="120" w:line="288" w:lineRule="auto"/>
        <w:ind w:left="0"/>
        <w:jc w:val="left"/>
      </w:pPr>
      <w:r>
        <w:rPr>
          <w:rFonts w:eastAsia="等线" w:ascii="Arial" w:cs="Arial" w:hAnsi="Arial"/>
          <w:sz w:val="22"/>
        </w:rPr>
        <w:t>对照4.1成套装备组成清单逐项清点核对：主机单元、激光单元、气源成套单元、冷却成套单元、工装夹具组、刀具辅件、软件包、检测仪器、安全防护组件，全部配套齐全，软件授权完整有效。</w:t>
      </w:r>
    </w:p>
    <w:p>
      <w:pPr>
        <w:pStyle w:val="3"/>
        <w:spacing w:before="300" w:after="120" w:line="288" w:lineRule="auto"/>
        <w:ind w:left="0"/>
        <w:jc w:val="left"/>
        <w:outlineLvl w:val="2"/>
      </w:pPr>
      <w:bookmarkStart w:name="heading_130" w:id="130"/>
      <w:r>
        <w:rPr>
          <w:rFonts w:eastAsia="等线" w:ascii="Arial" w:cs="Arial" w:hAnsi="Arial"/>
          <w:b w:val="true"/>
          <w:sz w:val="30"/>
        </w:rPr>
        <w:t>5.3 定位精度检测</w:t>
      </w:r>
      <w:bookmarkEnd w:id="130"/>
    </w:p>
    <w:p>
      <w:pPr>
        <w:spacing w:before="120" w:after="120" w:line="288" w:lineRule="auto"/>
        <w:ind w:left="0"/>
        <w:jc w:val="left"/>
      </w:pPr>
      <w:r>
        <w:rPr>
          <w:rFonts w:eastAsia="等线" w:ascii="Arial" w:cs="Arial" w:hAnsi="Arial"/>
          <w:sz w:val="22"/>
        </w:rPr>
        <w:t>5.3.1 检测设备：激光干涉仪</w:t>
      </w:r>
    </w:p>
    <w:p>
      <w:pPr>
        <w:spacing w:before="120" w:after="120" w:line="288" w:lineRule="auto"/>
        <w:ind w:left="0"/>
        <w:jc w:val="left"/>
      </w:pPr>
      <w:r>
        <w:rPr>
          <w:rFonts w:eastAsia="等线" w:ascii="Arial" w:cs="Arial" w:hAnsi="Arial"/>
          <w:sz w:val="22"/>
        </w:rPr>
        <w:t>5.3.2 检测方法：成套装备全部配套单元正常联机工作，主机空载条件下检测。沿平行坐标轴测量轴线选取5‑15个定位点，每个定位点重复定位5‑13次；可单向趋近或双向趋近，对测量数据统计处理，求取算术平均值、平均值偏差、标准差、分散度。分散度代表重复定位精度，和平均值偏差一起构成定位精度。</w:t>
      </w:r>
    </w:p>
    <w:p>
      <w:pPr>
        <w:pStyle w:val="3"/>
        <w:spacing w:before="300" w:after="120" w:line="288" w:lineRule="auto"/>
        <w:ind w:left="0"/>
        <w:jc w:val="left"/>
        <w:outlineLvl w:val="2"/>
      </w:pPr>
      <w:bookmarkStart w:name="heading_131" w:id="131"/>
      <w:r>
        <w:rPr>
          <w:rFonts w:eastAsia="等线" w:ascii="Arial" w:cs="Arial" w:hAnsi="Arial"/>
          <w:b w:val="true"/>
          <w:sz w:val="30"/>
        </w:rPr>
        <w:t>5.4 重复定位精度检测</w:t>
      </w:r>
      <w:bookmarkEnd w:id="131"/>
    </w:p>
    <w:p>
      <w:pPr>
        <w:spacing w:before="120" w:after="120" w:line="288" w:lineRule="auto"/>
        <w:ind w:left="0"/>
        <w:jc w:val="left"/>
      </w:pPr>
      <w:r>
        <w:rPr>
          <w:rFonts w:eastAsia="等线" w:ascii="Arial" w:cs="Arial" w:hAnsi="Arial"/>
          <w:sz w:val="22"/>
        </w:rPr>
        <w:t>5.4.1 检测设备：激光干涉仪</w:t>
      </w:r>
    </w:p>
    <w:p>
      <w:pPr>
        <w:spacing w:before="120" w:after="120" w:line="288" w:lineRule="auto"/>
        <w:ind w:left="0"/>
        <w:jc w:val="left"/>
      </w:pPr>
      <w:r>
        <w:rPr>
          <w:rFonts w:eastAsia="等线" w:ascii="Arial" w:cs="Arial" w:hAnsi="Arial"/>
          <w:sz w:val="22"/>
        </w:rPr>
        <w:t>5.4.2 检测方法：在靠近行程中点及两端三个位置进行测量。每个位置快速移动定位，相同条件重复七次定位，记录停止位置读数，求出读数最大差值。取三个位置最大差值的一半作为重复定位误差。</w:t>
      </w:r>
    </w:p>
    <w:p>
      <w:pPr>
        <w:pStyle w:val="3"/>
        <w:spacing w:before="300" w:after="120" w:line="288" w:lineRule="auto"/>
        <w:ind w:left="0"/>
        <w:jc w:val="left"/>
        <w:outlineLvl w:val="2"/>
      </w:pPr>
      <w:bookmarkStart w:name="heading_132" w:id="132"/>
      <w:r>
        <w:rPr>
          <w:rFonts w:eastAsia="等线" w:ascii="Arial" w:cs="Arial" w:hAnsi="Arial"/>
          <w:b w:val="true"/>
          <w:sz w:val="30"/>
        </w:rPr>
        <w:t>5.5 C轴回转精度与角度定位检测</w:t>
      </w:r>
      <w:bookmarkEnd w:id="132"/>
    </w:p>
    <w:p>
      <w:pPr>
        <w:spacing w:before="120" w:after="120" w:line="288" w:lineRule="auto"/>
        <w:ind w:left="0"/>
        <w:jc w:val="left"/>
      </w:pPr>
      <w:r>
        <w:rPr>
          <w:rFonts w:eastAsia="等线" w:ascii="Arial" w:cs="Arial" w:hAnsi="Arial"/>
          <w:sz w:val="22"/>
        </w:rPr>
        <w:t>5.5.1 检测设备：激光角度干涉仪</w:t>
      </w:r>
    </w:p>
    <w:p>
      <w:pPr>
        <w:spacing w:before="120" w:after="120" w:line="288" w:lineRule="auto"/>
        <w:ind w:left="0"/>
        <w:jc w:val="left"/>
      </w:pPr>
      <w:r>
        <w:rPr>
          <w:rFonts w:eastAsia="等线" w:ascii="Arial" w:cs="Arial" w:hAnsi="Arial"/>
          <w:sz w:val="22"/>
        </w:rPr>
        <w:t>5.5.2 检测方法：成套装备联机状态，全圆周均匀选取角度测点，每个测点重复7次定位，计算角度定位精度与重复定位精度。</w:t>
      </w:r>
    </w:p>
    <w:p>
      <w:pPr>
        <w:pStyle w:val="3"/>
        <w:spacing w:before="300" w:after="120" w:line="288" w:lineRule="auto"/>
        <w:ind w:left="0"/>
        <w:jc w:val="left"/>
        <w:outlineLvl w:val="2"/>
      </w:pPr>
      <w:bookmarkStart w:name="heading_133" w:id="133"/>
      <w:r>
        <w:rPr>
          <w:rFonts w:eastAsia="等线" w:ascii="Arial" w:cs="Arial" w:hAnsi="Arial"/>
          <w:b w:val="true"/>
          <w:sz w:val="30"/>
        </w:rPr>
        <w:t>5.6 气浮主轴系统检测</w:t>
      </w:r>
      <w:bookmarkEnd w:id="133"/>
    </w:p>
    <w:p>
      <w:pPr>
        <w:spacing w:before="120" w:after="120" w:line="288" w:lineRule="auto"/>
        <w:ind w:left="0"/>
        <w:jc w:val="left"/>
      </w:pPr>
      <w:r>
        <w:rPr>
          <w:rFonts w:eastAsia="等线" w:ascii="Arial" w:cs="Arial" w:hAnsi="Arial"/>
          <w:sz w:val="22"/>
        </w:rPr>
        <w:t>5.6.1 气源成套单元正常工作；检测主轴回转精度、供气系统压力、耗气量；气膜刚度与承载性能按照Q/ZGB 002‑2026执行。</w:t>
      </w:r>
    </w:p>
    <w:p>
      <w:pPr>
        <w:spacing w:before="120" w:after="120" w:line="288" w:lineRule="auto"/>
        <w:ind w:left="0"/>
        <w:jc w:val="left"/>
      </w:pPr>
      <w:r>
        <w:rPr>
          <w:rFonts w:eastAsia="等线" w:ascii="Arial" w:cs="Arial" w:hAnsi="Arial"/>
          <w:sz w:val="22"/>
        </w:rPr>
        <w:t>5.6.2 检验方法：供气成套单元工作，压力、流量读数稳定，无漏气异响，低压/堵塞报警功能验证有效。</w:t>
      </w:r>
    </w:p>
    <w:p>
      <w:pPr>
        <w:pStyle w:val="3"/>
        <w:spacing w:before="300" w:after="120" w:line="288" w:lineRule="auto"/>
        <w:ind w:left="0"/>
        <w:jc w:val="left"/>
        <w:outlineLvl w:val="2"/>
      </w:pPr>
      <w:bookmarkStart w:name="heading_134" w:id="134"/>
      <w:r>
        <w:rPr>
          <w:rFonts w:eastAsia="等线" w:ascii="Arial" w:cs="Arial" w:hAnsi="Arial"/>
          <w:b w:val="true"/>
          <w:sz w:val="30"/>
        </w:rPr>
        <w:t>5.7 冷却成套单元试验</w:t>
      </w:r>
      <w:bookmarkEnd w:id="134"/>
    </w:p>
    <w:p>
      <w:pPr>
        <w:spacing w:before="120" w:after="120" w:line="288" w:lineRule="auto"/>
        <w:ind w:left="0"/>
        <w:jc w:val="left"/>
      </w:pPr>
      <w:r>
        <w:rPr>
          <w:rFonts w:eastAsia="等线" w:ascii="Arial" w:cs="Arial" w:hAnsi="Arial"/>
          <w:sz w:val="22"/>
        </w:rPr>
        <w:t>启动全部冷却机组，连续运行不少于2h，记录各回路控温精度，验证超温、流量异常报警联锁功能。</w:t>
      </w:r>
    </w:p>
    <w:p>
      <w:pPr>
        <w:pStyle w:val="3"/>
        <w:spacing w:before="300" w:after="120" w:line="288" w:lineRule="auto"/>
        <w:ind w:left="0"/>
        <w:jc w:val="left"/>
        <w:outlineLvl w:val="2"/>
      </w:pPr>
      <w:bookmarkStart w:name="heading_135" w:id="135"/>
      <w:r>
        <w:rPr>
          <w:rFonts w:eastAsia="等线" w:ascii="Arial" w:cs="Arial" w:hAnsi="Arial"/>
          <w:b w:val="true"/>
          <w:sz w:val="30"/>
        </w:rPr>
        <w:t>5.8 激光工艺单元及成套联动试验</w:t>
      </w:r>
      <w:bookmarkEnd w:id="135"/>
    </w:p>
    <w:p>
      <w:pPr>
        <w:spacing w:before="120" w:after="120" w:line="288" w:lineRule="auto"/>
        <w:ind w:left="0"/>
        <w:jc w:val="left"/>
      </w:pPr>
      <w:r>
        <w:rPr>
          <w:rFonts w:eastAsia="等线" w:ascii="Arial" w:cs="Arial" w:hAnsi="Arial"/>
          <w:sz w:val="22"/>
        </w:rPr>
        <w:t>5.8.1 激光输出功率检测：使用激光功率计，检测0‑200W范围内多档输出功率；</w:t>
      </w:r>
    </w:p>
    <w:p>
      <w:pPr>
        <w:spacing w:before="120" w:after="120" w:line="288" w:lineRule="auto"/>
        <w:ind w:left="0"/>
        <w:jc w:val="left"/>
      </w:pPr>
      <w:r>
        <w:rPr>
          <w:rFonts w:eastAsia="等线" w:ascii="Arial" w:cs="Arial" w:hAnsi="Arial"/>
          <w:sz w:val="22"/>
        </w:rPr>
        <w:t>5.8.2 激光同轴对中精度检测：视觉采集系统测量激光光斑与金刚石刀尖位置偏差；</w:t>
      </w:r>
    </w:p>
    <w:p>
      <w:pPr>
        <w:spacing w:before="120" w:after="120" w:line="288" w:lineRule="auto"/>
        <w:ind w:left="0"/>
        <w:jc w:val="left"/>
      </w:pPr>
      <w:r>
        <w:rPr>
          <w:rFonts w:eastAsia="等线" w:ascii="Arial" w:cs="Arial" w:hAnsi="Arial"/>
          <w:sz w:val="22"/>
        </w:rPr>
        <w:t>5.8.3 成套装备整机联调复合工艺试验：完整运行“金刚石切削‑激光预处理‑激光后改性”整套复合加工程序；验证数控软件、主机、气源、冷却、激光单元时序联动；验证激光舱门安全联锁切断输出功能。</w:t>
      </w:r>
    </w:p>
    <w:p>
      <w:pPr>
        <w:pStyle w:val="3"/>
        <w:spacing w:before="300" w:after="120" w:line="288" w:lineRule="auto"/>
        <w:ind w:left="0"/>
        <w:jc w:val="left"/>
        <w:outlineLvl w:val="2"/>
      </w:pPr>
      <w:bookmarkStart w:name="heading_136" w:id="136"/>
      <w:r>
        <w:rPr>
          <w:rFonts w:eastAsia="等线" w:ascii="Arial" w:cs="Arial" w:hAnsi="Arial"/>
          <w:b w:val="true"/>
          <w:sz w:val="30"/>
        </w:rPr>
        <w:t>5.9 工装、刀具辅件配套验证</w:t>
      </w:r>
      <w:bookmarkEnd w:id="136"/>
    </w:p>
    <w:p>
      <w:pPr>
        <w:spacing w:before="120" w:after="120" w:line="288" w:lineRule="auto"/>
        <w:ind w:left="0"/>
        <w:jc w:val="left"/>
      </w:pPr>
      <w:r>
        <w:rPr>
          <w:rFonts w:eastAsia="等线" w:ascii="Arial" w:cs="Arial" w:hAnsi="Arial"/>
          <w:sz w:val="22"/>
        </w:rPr>
        <w:t>使用交付专用工装完成标准试块装夹，完成试切验证工装定位精度；刀具辅件拆装、夹持功能检验。</w:t>
      </w:r>
    </w:p>
    <w:p>
      <w:pPr>
        <w:pStyle w:val="3"/>
        <w:spacing w:before="300" w:after="120" w:line="288" w:lineRule="auto"/>
        <w:ind w:left="0"/>
        <w:jc w:val="left"/>
        <w:outlineLvl w:val="2"/>
      </w:pPr>
      <w:bookmarkStart w:name="heading_137" w:id="137"/>
      <w:r>
        <w:rPr>
          <w:rFonts w:eastAsia="等线" w:ascii="Arial" w:cs="Arial" w:hAnsi="Arial"/>
          <w:b w:val="true"/>
          <w:sz w:val="30"/>
        </w:rPr>
        <w:t>5.10 电气安全试验</w:t>
      </w:r>
      <w:bookmarkEnd w:id="137"/>
    </w:p>
    <w:p>
      <w:pPr>
        <w:spacing w:before="120" w:after="120" w:line="288" w:lineRule="auto"/>
        <w:ind w:left="0"/>
        <w:jc w:val="left"/>
      </w:pPr>
      <w:r>
        <w:rPr>
          <w:rFonts w:eastAsia="等线" w:ascii="Arial" w:cs="Arial" w:hAnsi="Arial"/>
          <w:sz w:val="22"/>
        </w:rPr>
        <w:t>成套装备全部单元保护接地连续性、绝缘电阻按照GB 5226.1规定方法逐项测试。</w:t>
      </w:r>
    </w:p>
    <w:p>
      <w:pPr>
        <w:pStyle w:val="2"/>
        <w:spacing w:before="320" w:after="120" w:line="288" w:lineRule="auto"/>
        <w:ind w:left="0"/>
        <w:jc w:val="left"/>
        <w:outlineLvl w:val="1"/>
      </w:pPr>
      <w:bookmarkStart w:name="heading_138" w:id="138"/>
      <w:r>
        <w:rPr>
          <w:rFonts w:eastAsia="等线" w:ascii="Arial" w:cs="Arial" w:hAnsi="Arial"/>
          <w:b w:val="true"/>
          <w:sz w:val="32"/>
        </w:rPr>
        <w:t>6 检验规则</w:t>
      </w:r>
      <w:bookmarkEnd w:id="138"/>
    </w:p>
    <w:p>
      <w:pPr>
        <w:spacing w:before="120" w:after="120" w:line="288" w:lineRule="auto"/>
        <w:ind w:left="0"/>
        <w:jc w:val="left"/>
      </w:pPr>
      <w:r>
        <w:rPr>
          <w:rFonts w:eastAsia="等线" w:ascii="Arial" w:cs="Arial" w:hAnsi="Arial"/>
          <w:sz w:val="22"/>
        </w:rPr>
        <w:t>检验对象为完整成套装备，任意配套单元不合格，判定整套装备不合格。</w:t>
      </w:r>
    </w:p>
    <w:p>
      <w:pPr>
        <w:pStyle w:val="3"/>
        <w:spacing w:before="300" w:after="120" w:line="288" w:lineRule="auto"/>
        <w:ind w:left="0"/>
        <w:jc w:val="left"/>
        <w:outlineLvl w:val="2"/>
      </w:pPr>
      <w:bookmarkStart w:name="heading_139" w:id="139"/>
      <w:r>
        <w:rPr>
          <w:rFonts w:eastAsia="等线" w:ascii="Arial" w:cs="Arial" w:hAnsi="Arial"/>
          <w:b w:val="true"/>
          <w:sz w:val="30"/>
        </w:rPr>
        <w:t>6.1 检验分类</w:t>
      </w:r>
      <w:bookmarkEnd w:id="139"/>
    </w:p>
    <w:p>
      <w:pPr>
        <w:pStyle w:val="4"/>
        <w:spacing w:before="260" w:after="120" w:line="288" w:lineRule="auto"/>
        <w:ind w:left="0"/>
        <w:jc w:val="left"/>
        <w:outlineLvl w:val="3"/>
      </w:pPr>
      <w:bookmarkStart w:name="heading_140" w:id="140"/>
      <w:r>
        <w:rPr>
          <w:rFonts w:eastAsia="等线" w:ascii="Arial" w:cs="Arial" w:hAnsi="Arial"/>
          <w:b w:val="true"/>
          <w:sz w:val="28"/>
        </w:rPr>
        <w:t>6.1.1 定型检验</w:t>
      </w:r>
      <w:bookmarkEnd w:id="140"/>
    </w:p>
    <w:p>
      <w:pPr>
        <w:spacing w:before="120" w:after="120" w:line="288" w:lineRule="auto"/>
        <w:ind w:left="0"/>
        <w:jc w:val="left"/>
      </w:pPr>
      <w:r>
        <w:rPr>
          <w:rFonts w:eastAsia="等线" w:ascii="Arial" w:cs="Arial" w:hAnsi="Arial"/>
          <w:sz w:val="22"/>
        </w:rPr>
        <w:t>A）成套装备设计、生产定型（产品鉴定）时，应进行定型检验；</w:t>
      </w:r>
    </w:p>
    <w:p>
      <w:pPr>
        <w:spacing w:before="120" w:after="120" w:line="288" w:lineRule="auto"/>
        <w:ind w:left="0"/>
        <w:jc w:val="left"/>
      </w:pPr>
      <w:r>
        <w:rPr>
          <w:rFonts w:eastAsia="等线" w:ascii="Arial" w:cs="Arial" w:hAnsi="Arial"/>
          <w:sz w:val="22"/>
        </w:rPr>
        <w:t>B）定型检验项目：成套装备配套完整性检查、外观、定位精度、重复定位精度、C轴回转精度、气浮主轴系统、气源成套单元、冷却成套单元、激光系统性能、全套复合工艺联动、工装夹具校验、软件功能、电气安全、激光安全联锁；</w:t>
      </w:r>
    </w:p>
    <w:p>
      <w:pPr>
        <w:spacing w:before="120" w:after="120" w:line="288" w:lineRule="auto"/>
        <w:ind w:left="0"/>
        <w:jc w:val="left"/>
      </w:pPr>
      <w:r>
        <w:rPr>
          <w:rFonts w:eastAsia="等线" w:ascii="Arial" w:cs="Arial" w:hAnsi="Arial"/>
          <w:sz w:val="22"/>
        </w:rPr>
        <w:t>C）定型检验完成后，检验单位提交定型检验报告，按本标准对整套装备结果做出评定。</w:t>
      </w:r>
    </w:p>
    <w:p>
      <w:pPr>
        <w:pStyle w:val="4"/>
        <w:spacing w:before="260" w:after="120" w:line="288" w:lineRule="auto"/>
        <w:ind w:left="0"/>
        <w:jc w:val="left"/>
        <w:outlineLvl w:val="3"/>
      </w:pPr>
      <w:bookmarkStart w:name="heading_141" w:id="141"/>
      <w:r>
        <w:rPr>
          <w:rFonts w:eastAsia="等线" w:ascii="Arial" w:cs="Arial" w:hAnsi="Arial"/>
          <w:b w:val="true"/>
          <w:sz w:val="28"/>
        </w:rPr>
        <w:t>6.1.2 出厂检验</w:t>
      </w:r>
      <w:bookmarkEnd w:id="141"/>
    </w:p>
    <w:p>
      <w:pPr>
        <w:spacing w:before="120" w:after="120" w:line="288" w:lineRule="auto"/>
        <w:ind w:left="0"/>
        <w:jc w:val="left"/>
      </w:pPr>
      <w:r>
        <w:rPr>
          <w:rFonts w:eastAsia="等线" w:ascii="Arial" w:cs="Arial" w:hAnsi="Arial"/>
          <w:sz w:val="22"/>
        </w:rPr>
        <w:t>A）每一套成套装备交付前，必须完成出厂检验，全部项目合格后方可出厂交付；</w:t>
      </w:r>
    </w:p>
    <w:p>
      <w:pPr>
        <w:spacing w:before="120" w:after="120" w:line="288" w:lineRule="auto"/>
        <w:ind w:left="0"/>
        <w:jc w:val="left"/>
      </w:pPr>
      <w:r>
        <w:rPr>
          <w:rFonts w:eastAsia="等线" w:ascii="Arial" w:cs="Arial" w:hAnsi="Arial"/>
          <w:sz w:val="22"/>
        </w:rPr>
        <w:t>B）出厂检验项目：成套装备配套完整性检查、外观、定位精度、重复定位精度、C轴精度、气浮主轴系统、气源及冷却单元报警联锁、激光输出、激光安全联锁、基础复合工艺联调、电气接地绝缘；</w:t>
      </w:r>
    </w:p>
    <w:p>
      <w:pPr>
        <w:spacing w:before="120" w:after="120" w:line="288" w:lineRule="auto"/>
        <w:ind w:left="0"/>
        <w:jc w:val="left"/>
      </w:pPr>
      <w:r>
        <w:rPr>
          <w:rFonts w:eastAsia="等线" w:ascii="Arial" w:cs="Arial" w:hAnsi="Arial"/>
          <w:sz w:val="22"/>
        </w:rPr>
        <w:t>C）出厂检验按本标准做出评定；</w:t>
      </w:r>
    </w:p>
    <w:p>
      <w:pPr>
        <w:spacing w:before="120" w:after="120" w:line="288" w:lineRule="auto"/>
        <w:ind w:left="0"/>
        <w:jc w:val="left"/>
      </w:pPr>
      <w:r>
        <w:rPr>
          <w:rFonts w:eastAsia="等线" w:ascii="Arial" w:cs="Arial" w:hAnsi="Arial"/>
          <w:sz w:val="22"/>
        </w:rPr>
        <w:t>D）检验合格后出具成套装备出厂检验报告和产品合格证明书。</w:t>
      </w:r>
    </w:p>
    <w:p>
      <w:pPr>
        <w:pStyle w:val="4"/>
        <w:spacing w:before="260" w:after="120" w:line="288" w:lineRule="auto"/>
        <w:ind w:left="0"/>
        <w:jc w:val="left"/>
        <w:outlineLvl w:val="3"/>
      </w:pPr>
      <w:bookmarkStart w:name="heading_142" w:id="142"/>
      <w:r>
        <w:rPr>
          <w:rFonts w:eastAsia="等线" w:ascii="Arial" w:cs="Arial" w:hAnsi="Arial"/>
          <w:b w:val="true"/>
          <w:sz w:val="28"/>
        </w:rPr>
        <w:t>6.1.3 型式检验</w:t>
      </w:r>
      <w:bookmarkEnd w:id="142"/>
    </w:p>
    <w:p>
      <w:pPr>
        <w:spacing w:before="120" w:after="120" w:line="288" w:lineRule="auto"/>
        <w:ind w:left="0"/>
        <w:jc w:val="left"/>
      </w:pPr>
      <w:r>
        <w:rPr>
          <w:rFonts w:eastAsia="等线" w:ascii="Arial" w:cs="Arial" w:hAnsi="Arial"/>
          <w:sz w:val="22"/>
        </w:rPr>
        <w:t>A）成套装备批量生产一般每一年进行一次型式检验；主机、激光单元、气源/冷却成套单元、软件发生重大设计工艺更改时，应开展型式检验；</w:t>
      </w:r>
    </w:p>
    <w:p>
      <w:pPr>
        <w:spacing w:before="120" w:after="120" w:line="288" w:lineRule="auto"/>
        <w:ind w:left="0"/>
        <w:jc w:val="left"/>
      </w:pPr>
      <w:r>
        <w:rPr>
          <w:rFonts w:eastAsia="等线" w:ascii="Arial" w:cs="Arial" w:hAnsi="Arial"/>
          <w:sz w:val="22"/>
        </w:rPr>
        <w:t>B）型式检验包含本标准全部技术项目，完整执行整套复合工艺联调；</w:t>
      </w:r>
    </w:p>
    <w:p>
      <w:pPr>
        <w:spacing w:before="120" w:after="120" w:line="288" w:lineRule="auto"/>
        <w:ind w:left="0"/>
        <w:jc w:val="left"/>
      </w:pPr>
      <w:r>
        <w:rPr>
          <w:rFonts w:eastAsia="等线" w:ascii="Arial" w:cs="Arial" w:hAnsi="Arial"/>
          <w:sz w:val="22"/>
        </w:rPr>
        <w:t>C）型式检验完成后提交型式检验报告，并对整套装备做出评定。</w:t>
      </w:r>
    </w:p>
    <w:p>
      <w:pPr>
        <w:pStyle w:val="3"/>
        <w:spacing w:before="300" w:after="120" w:line="288" w:lineRule="auto"/>
        <w:ind w:left="0"/>
        <w:jc w:val="left"/>
        <w:outlineLvl w:val="2"/>
      </w:pPr>
      <w:bookmarkStart w:name="heading_143" w:id="143"/>
      <w:r>
        <w:rPr>
          <w:rFonts w:eastAsia="等线" w:ascii="Arial" w:cs="Arial" w:hAnsi="Arial"/>
          <w:b w:val="true"/>
          <w:sz w:val="30"/>
        </w:rPr>
        <w:t>6.2 产品质量特性重要度及判定规则</w:t>
      </w:r>
      <w:bookmarkEnd w:id="143"/>
    </w:p>
    <w:p>
      <w:pPr>
        <w:spacing w:before="120" w:after="120" w:line="288" w:lineRule="auto"/>
        <w:ind w:left="0"/>
        <w:jc w:val="left"/>
      </w:pPr>
      <w:r>
        <w:rPr>
          <w:rFonts w:eastAsia="等线" w:ascii="Arial" w:cs="Arial" w:hAnsi="Arial"/>
          <w:sz w:val="22"/>
        </w:rPr>
        <w:t>按照JB/T 5058‑2006引入产品质量特性重要度，分为a、b两级。</w:t>
      </w:r>
    </w:p>
    <w:p>
      <w:pPr>
        <w:spacing w:before="120" w:after="120" w:line="288" w:lineRule="auto"/>
        <w:ind w:left="0"/>
        <w:jc w:val="left"/>
      </w:pPr>
      <w:r>
        <w:rPr>
          <w:rFonts w:eastAsia="等线" w:ascii="Arial" w:cs="Arial" w:hAnsi="Arial"/>
          <w:sz w:val="22"/>
        </w:rPr>
        <w:t>A）a级重要度（成套装备关键项）：成套配套完整性、主机运动精度、气浮主轴性能、气源冷却联锁保护、激光安全联锁、整套装备复合工艺联动、绝缘接地安全；出现缺陷直接判定整套装备不合格。</w:t>
      </w:r>
    </w:p>
    <w:p>
      <w:pPr>
        <w:spacing w:before="120" w:after="120" w:line="288" w:lineRule="auto"/>
        <w:ind w:left="0"/>
        <w:jc w:val="left"/>
      </w:pPr>
      <w:r>
        <w:rPr>
          <w:rFonts w:eastAsia="等线" w:ascii="Arial" w:cs="Arial" w:hAnsi="Arial"/>
          <w:sz w:val="22"/>
        </w:rPr>
        <w:t>B）b级重要度：外观质量、次要标识、非关键辅具外观等辅助项目。</w:t>
      </w:r>
    </w:p>
    <w:p>
      <w:pPr>
        <w:spacing w:before="120" w:after="120" w:line="288" w:lineRule="auto"/>
        <w:ind w:left="0"/>
        <w:jc w:val="left"/>
      </w:pPr>
      <w:r>
        <w:rPr>
          <w:rFonts w:eastAsia="等线" w:ascii="Arial" w:cs="Arial" w:hAnsi="Arial"/>
          <w:sz w:val="22"/>
        </w:rPr>
        <w:t>判定规则：</w:t>
      </w:r>
    </w:p>
    <w:p>
      <w:pPr>
        <w:spacing w:before="120" w:after="120" w:line="288" w:lineRule="auto"/>
        <w:ind w:left="0"/>
        <w:jc w:val="left"/>
      </w:pPr>
      <w:r>
        <w:rPr>
          <w:rFonts w:eastAsia="等线" w:ascii="Arial" w:cs="Arial" w:hAnsi="Arial"/>
          <w:sz w:val="22"/>
        </w:rPr>
        <w:t>A）定型、出厂、型式检验，任一项目不合格，应查明故障原因排除后复检一次；再次不合格，判定整套成套装备不合格。</w:t>
      </w:r>
    </w:p>
    <w:p>
      <w:pPr>
        <w:spacing w:before="120" w:after="120" w:line="288" w:lineRule="auto"/>
        <w:ind w:left="0"/>
        <w:jc w:val="left"/>
      </w:pPr>
      <w:r>
        <w:rPr>
          <w:rFonts w:eastAsia="等线" w:ascii="Arial" w:cs="Arial" w:hAnsi="Arial"/>
          <w:sz w:val="22"/>
        </w:rPr>
        <w:t>B）a级重要度项目出现缺陷直接判定整套装备不合格。</w:t>
      </w:r>
    </w:p>
    <w:p>
      <w:pPr>
        <w:spacing w:before="120" w:after="120" w:line="288" w:lineRule="auto"/>
        <w:ind w:left="0"/>
        <w:jc w:val="left"/>
      </w:pPr>
      <w:r>
        <w:rPr>
          <w:rFonts w:eastAsia="等线" w:ascii="Arial" w:cs="Arial" w:hAnsi="Arial"/>
          <w:sz w:val="22"/>
        </w:rPr>
        <w:t>C）两个及以上b级重要度项目同时出现缺陷，判定整套装备不合格。</w:t>
      </w:r>
    </w:p>
    <w:p>
      <w:pPr>
        <w:pStyle w:val="3"/>
        <w:spacing w:before="300" w:after="120" w:line="288" w:lineRule="auto"/>
        <w:ind w:left="0"/>
        <w:jc w:val="left"/>
        <w:outlineLvl w:val="2"/>
      </w:pPr>
      <w:bookmarkStart w:name="heading_144" w:id="144"/>
      <w:r>
        <w:rPr>
          <w:rFonts w:eastAsia="等线" w:ascii="Arial" w:cs="Arial" w:hAnsi="Arial"/>
          <w:b w:val="true"/>
          <w:sz w:val="30"/>
        </w:rPr>
        <w:t>6.3 检验顺序</w:t>
      </w:r>
      <w:bookmarkEnd w:id="144"/>
    </w:p>
    <w:p>
      <w:pPr>
        <w:spacing w:before="120" w:after="120" w:line="288" w:lineRule="auto"/>
        <w:ind w:left="0"/>
        <w:jc w:val="left"/>
      </w:pPr>
      <w:r>
        <w:rPr>
          <w:rFonts w:eastAsia="等线" w:ascii="Arial" w:cs="Arial" w:hAnsi="Arial"/>
          <w:sz w:val="22"/>
        </w:rPr>
        <w:t>成套装备配套完整性核对→外观检查→定位与重复定位精度→C轴回转精度→气浮主轴系统→气源成套单元→冷却成套单元→激光系统与安全联锁→工装软件校验→整机复合工艺联动联调→电气安全项目。</w:t>
      </w:r>
    </w:p>
    <w:p>
      <w:pPr>
        <w:pStyle w:val="2"/>
        <w:spacing w:before="320" w:after="120" w:line="288" w:lineRule="auto"/>
        <w:ind w:left="0"/>
        <w:jc w:val="left"/>
        <w:outlineLvl w:val="1"/>
      </w:pPr>
      <w:bookmarkStart w:name="heading_145" w:id="145"/>
      <w:r>
        <w:rPr>
          <w:rFonts w:eastAsia="等线" w:ascii="Arial" w:cs="Arial" w:hAnsi="Arial"/>
          <w:b w:val="true"/>
          <w:sz w:val="32"/>
        </w:rPr>
        <w:t>7 标志、包装、运输与贮存</w:t>
      </w:r>
      <w:bookmarkEnd w:id="145"/>
    </w:p>
    <w:p>
      <w:pPr>
        <w:pStyle w:val="3"/>
        <w:spacing w:before="300" w:after="120" w:line="288" w:lineRule="auto"/>
        <w:ind w:left="0"/>
        <w:jc w:val="left"/>
        <w:outlineLvl w:val="2"/>
      </w:pPr>
      <w:bookmarkStart w:name="heading_146" w:id="146"/>
      <w:r>
        <w:rPr>
          <w:rFonts w:eastAsia="等线" w:ascii="Arial" w:cs="Arial" w:hAnsi="Arial"/>
          <w:b w:val="true"/>
          <w:sz w:val="30"/>
        </w:rPr>
        <w:t>7.1 成套装备总铭牌标志</w:t>
      </w:r>
      <w:bookmarkEnd w:id="146"/>
    </w:p>
    <w:p>
      <w:pPr>
        <w:spacing w:before="120" w:after="120" w:line="288" w:lineRule="auto"/>
        <w:ind w:left="0"/>
        <w:jc w:val="left"/>
      </w:pPr>
      <w:r>
        <w:rPr>
          <w:rFonts w:eastAsia="等线" w:ascii="Arial" w:cs="Arial" w:hAnsi="Arial"/>
          <w:sz w:val="22"/>
        </w:rPr>
        <w:t>成套装备设置总铭牌，标明：注册商标、成套装备完整型号名称、执行标准号Q/ZGB 004‑2026、出厂编号、制造日期、制造商名称地址；主机、激光单元、气源单元、冷却单元各分单元还应设置独立分铭牌。</w:t>
      </w:r>
    </w:p>
    <w:p>
      <w:pPr>
        <w:pStyle w:val="3"/>
        <w:spacing w:before="300" w:after="120" w:line="288" w:lineRule="auto"/>
        <w:ind w:left="0"/>
        <w:jc w:val="left"/>
        <w:outlineLvl w:val="2"/>
      </w:pPr>
      <w:bookmarkStart w:name="heading_147" w:id="147"/>
      <w:r>
        <w:rPr>
          <w:rFonts w:eastAsia="等线" w:ascii="Arial" w:cs="Arial" w:hAnsi="Arial"/>
          <w:b w:val="true"/>
          <w:sz w:val="30"/>
        </w:rPr>
        <w:t>7.2 产品标签</w:t>
      </w:r>
      <w:bookmarkEnd w:id="147"/>
    </w:p>
    <w:p>
      <w:pPr>
        <w:spacing w:before="120" w:after="120" w:line="288" w:lineRule="auto"/>
        <w:ind w:left="0"/>
        <w:jc w:val="left"/>
      </w:pPr>
      <w:r>
        <w:rPr>
          <w:rFonts w:eastAsia="等线" w:ascii="Arial" w:cs="Arial" w:hAnsi="Arial"/>
          <w:sz w:val="22"/>
        </w:rPr>
        <w:t>各分单元标签注明：型号、名称、制造日期、额定电压、额定功率；文字清晰耐久，固定牢固，易于观察。</w:t>
      </w:r>
    </w:p>
    <w:p>
      <w:pPr>
        <w:pStyle w:val="3"/>
        <w:spacing w:before="300" w:after="120" w:line="288" w:lineRule="auto"/>
        <w:ind w:left="0"/>
        <w:jc w:val="left"/>
        <w:outlineLvl w:val="2"/>
      </w:pPr>
      <w:bookmarkStart w:name="heading_148" w:id="148"/>
      <w:r>
        <w:rPr>
          <w:rFonts w:eastAsia="等线" w:ascii="Arial" w:cs="Arial" w:hAnsi="Arial"/>
          <w:b w:val="true"/>
          <w:sz w:val="30"/>
        </w:rPr>
        <w:t>7.3 包装</w:t>
      </w:r>
      <w:bookmarkEnd w:id="148"/>
    </w:p>
    <w:p>
      <w:pPr>
        <w:pStyle w:val="4"/>
        <w:spacing w:before="260" w:after="120" w:line="288" w:lineRule="auto"/>
        <w:ind w:left="0"/>
        <w:jc w:val="left"/>
        <w:outlineLvl w:val="3"/>
      </w:pPr>
      <w:bookmarkStart w:name="heading_149" w:id="149"/>
      <w:r>
        <w:rPr>
          <w:rFonts w:eastAsia="等线" w:ascii="Arial" w:cs="Arial" w:hAnsi="Arial"/>
          <w:b w:val="true"/>
          <w:sz w:val="28"/>
        </w:rPr>
        <w:t>7.3.1 包装技术要求</w:t>
      </w:r>
      <w:bookmarkEnd w:id="149"/>
    </w:p>
    <w:p>
      <w:pPr>
        <w:spacing w:before="120" w:after="120" w:line="288" w:lineRule="auto"/>
        <w:ind w:left="0"/>
        <w:jc w:val="left"/>
      </w:pPr>
      <w:r>
        <w:rPr>
          <w:rFonts w:eastAsia="等线" w:ascii="Arial" w:cs="Arial" w:hAnsi="Arial"/>
          <w:sz w:val="22"/>
        </w:rPr>
        <w:t>A）成套装备整体包装应符合GB/T 13384通用技术要求；分单元包装箱符合GB/T 6543、GB/T 6544；</w:t>
      </w:r>
    </w:p>
    <w:p>
      <w:pPr>
        <w:spacing w:before="120" w:after="120" w:line="288" w:lineRule="auto"/>
        <w:ind w:left="0"/>
        <w:jc w:val="left"/>
      </w:pPr>
      <w:r>
        <w:rPr>
          <w:rFonts w:eastAsia="等线" w:ascii="Arial" w:cs="Arial" w:hAnsi="Arial"/>
          <w:sz w:val="22"/>
        </w:rPr>
        <w:t>B）各单元分开独立防护包装，机床主机、激光光学组件、精密工装夹具、检测仪器做独立防震缓冲防护；包装箱整体牢固可靠，防潮、防冲击。</w:t>
      </w:r>
    </w:p>
    <w:p>
      <w:pPr>
        <w:pStyle w:val="4"/>
        <w:spacing w:before="260" w:after="120" w:line="288" w:lineRule="auto"/>
        <w:ind w:left="0"/>
        <w:jc w:val="left"/>
        <w:outlineLvl w:val="3"/>
      </w:pPr>
      <w:bookmarkStart w:name="heading_150" w:id="150"/>
      <w:r>
        <w:rPr>
          <w:rFonts w:eastAsia="等线" w:ascii="Arial" w:cs="Arial" w:hAnsi="Arial"/>
          <w:b w:val="true"/>
          <w:sz w:val="28"/>
        </w:rPr>
        <w:t>7.3.2 包装箱箱面标志</w:t>
      </w:r>
      <w:bookmarkEnd w:id="150"/>
    </w:p>
    <w:p>
      <w:pPr>
        <w:spacing w:before="120" w:after="120" w:line="288" w:lineRule="auto"/>
        <w:ind w:left="0"/>
        <w:jc w:val="left"/>
      </w:pPr>
      <w:r>
        <w:rPr>
          <w:rFonts w:eastAsia="等线" w:ascii="Arial" w:cs="Arial" w:hAnsi="Arial"/>
          <w:sz w:val="22"/>
        </w:rPr>
        <w:t>包装箱标志应符合GB/T 191，具备“小心轻放、向上、怕雨”等图像标识；同时印刷成套装备型号、名称、出厂编号、毛重、外形尺寸、发货收货单位。</w:t>
      </w:r>
    </w:p>
    <w:p>
      <w:pPr>
        <w:pStyle w:val="4"/>
        <w:spacing w:before="260" w:after="120" w:line="288" w:lineRule="auto"/>
        <w:ind w:left="0"/>
        <w:jc w:val="left"/>
        <w:outlineLvl w:val="3"/>
      </w:pPr>
      <w:bookmarkStart w:name="heading_151" w:id="151"/>
      <w:r>
        <w:rPr>
          <w:rFonts w:eastAsia="等线" w:ascii="Arial" w:cs="Arial" w:hAnsi="Arial"/>
          <w:b w:val="true"/>
          <w:sz w:val="28"/>
        </w:rPr>
        <w:t>7.3.3 箱内主机、分单元、工装附件及随行文件</w:t>
      </w:r>
      <w:bookmarkEnd w:id="151"/>
    </w:p>
    <w:p>
      <w:pPr>
        <w:spacing w:before="120" w:after="120" w:line="288" w:lineRule="auto"/>
        <w:ind w:left="0"/>
        <w:jc w:val="left"/>
      </w:pPr>
      <w:r>
        <w:rPr>
          <w:rFonts w:eastAsia="等线" w:ascii="Arial" w:cs="Arial" w:hAnsi="Arial"/>
          <w:sz w:val="22"/>
        </w:rPr>
        <w:t>按成套装备交付清单清点全部单元、工装夹具、刀具辅件、检测仪器；每箱内置干燥剂。</w:t>
      </w:r>
    </w:p>
    <w:p>
      <w:pPr>
        <w:spacing w:before="120" w:after="120" w:line="288" w:lineRule="auto"/>
        <w:ind w:left="0"/>
        <w:jc w:val="left"/>
      </w:pPr>
      <w:r>
        <w:rPr>
          <w:rFonts w:eastAsia="等线" w:ascii="Arial" w:cs="Arial" w:hAnsi="Arial"/>
          <w:sz w:val="22"/>
        </w:rPr>
        <w:t>全套随行文件包含：成套装备合格证、出厂检验总报告、各分单元合格证、成套装备总使用说明书、激光安全操作手册、软件介质与授权文件、工装图纸清单。</w:t>
      </w:r>
    </w:p>
    <w:p>
      <w:pPr>
        <w:pStyle w:val="3"/>
        <w:spacing w:before="300" w:after="120" w:line="288" w:lineRule="auto"/>
        <w:ind w:left="0"/>
        <w:jc w:val="left"/>
        <w:outlineLvl w:val="2"/>
      </w:pPr>
      <w:bookmarkStart w:name="heading_152" w:id="152"/>
      <w:r>
        <w:rPr>
          <w:rFonts w:eastAsia="等线" w:ascii="Arial" w:cs="Arial" w:hAnsi="Arial"/>
          <w:b w:val="true"/>
          <w:sz w:val="30"/>
        </w:rPr>
        <w:t>7.4 运输</w:t>
      </w:r>
      <w:bookmarkEnd w:id="152"/>
    </w:p>
    <w:p>
      <w:pPr>
        <w:spacing w:before="120" w:after="120" w:line="288" w:lineRule="auto"/>
        <w:ind w:left="0"/>
        <w:jc w:val="left"/>
      </w:pPr>
      <w:r>
        <w:rPr>
          <w:rFonts w:eastAsia="等线" w:ascii="Arial" w:cs="Arial" w:hAnsi="Arial"/>
          <w:sz w:val="22"/>
        </w:rPr>
        <w:t>整套装备不允许露天运输；各分单元包装箱做好防雨、防尘、防剧烈冲击，防止光学件、精密主轴磕碰损伤。</w:t>
      </w:r>
    </w:p>
    <w:p>
      <w:pPr>
        <w:pStyle w:val="3"/>
        <w:spacing w:before="300" w:after="120" w:line="288" w:lineRule="auto"/>
        <w:ind w:left="0"/>
        <w:jc w:val="left"/>
        <w:outlineLvl w:val="2"/>
      </w:pPr>
      <w:bookmarkStart w:name="heading_153" w:id="153"/>
      <w:r>
        <w:rPr>
          <w:rFonts w:eastAsia="等线" w:ascii="Arial" w:cs="Arial" w:hAnsi="Arial"/>
          <w:b w:val="true"/>
          <w:sz w:val="30"/>
        </w:rPr>
        <w:t>7.5 贮存</w:t>
      </w:r>
      <w:bookmarkEnd w:id="153"/>
    </w:p>
    <w:p>
      <w:pPr>
        <w:spacing w:before="120" w:after="120" w:line="288" w:lineRule="auto"/>
        <w:ind w:left="0"/>
        <w:jc w:val="left"/>
      </w:pPr>
      <w:r>
        <w:rPr>
          <w:rFonts w:eastAsia="等线" w:ascii="Arial" w:cs="Arial" w:hAnsi="Arial"/>
          <w:sz w:val="22"/>
        </w:rPr>
        <w:t>成套装备各单元存放于干燥通风库房，环境温度0‑40℃；避免强磁场、腐蚀性气体；精密光学、气浮部件做好防尘保护；长期贮存应按维护手册定期通气通电保养。</w:t>
      </w:r>
    </w:p>
    <w:p>
      <w:pPr>
        <w:spacing w:before="120" w:after="120" w:line="288" w:lineRule="auto"/>
        <w:ind w:left="0"/>
        <w:jc w:val="left"/>
      </w:pPr>
      <w:r>
        <w:rPr>
          <w:rFonts w:eastAsia="等线" w:ascii="Arial" w:cs="Arial" w:hAnsi="Arial"/>
          <w:sz w:val="22"/>
        </w:rPr>
        <w:t>|（注：部分内容由豆包工作 AI 生成）</w:t>
      </w:r>
    </w:p>
    <w:sectPr>
      <w:footerReference w:type="default" r:id="rId3"/>
      <w:headerReference w:type="default" r:id="rId5"/>
      <w:pgSz w:orient="portrait" w:h="16840" w:w="11905"/>
    </w:sectPr>
  </w:body>
</w:document>
</file>

<file path=word/footer1.xml><?xml version="1.0" encoding="utf-8"?>
<w:ftr xmlns:w="http://schemas.openxmlformats.org/wordprocessingml/2006/main">
  <w:p/>
</w:ftr>
</file>

<file path=word/header1.xml><?xml version="1.0" encoding="utf-8"?>
<w:hdr xmlns:w="http://schemas.openxmlformats.org/wordprocessingml/2006/main">
  <w:p/>
</w:hdr>
</file>

<file path=word/numbering.xml><?xml version="1.0" encoding="utf-8"?>
<w:numbering xmlns:w="http://schemas.openxmlformats.org/wordprocessingml/2006/main">
  <w:abstractNum w:abstractNumId="1747">
    <w:lvl>
      <w:start w:val="1"/>
      <w:numFmt w:val="decimal"/>
      <w:suff w:val="tab"/>
      <w:lvlText w:val="%1."/>
      <w:rPr>
        <w:color w:val="3370ff"/>
      </w:rPr>
    </w:lvl>
  </w:abstractNum>
  <w:abstractNum w:abstractNumId="1748">
    <w:lvl>
      <w:start w:val="2"/>
      <w:numFmt w:val="decimal"/>
      <w:suff w:val="tab"/>
      <w:lvlText w:val="%1."/>
      <w:rPr>
        <w:color w:val="3370ff"/>
      </w:rPr>
    </w:lvl>
  </w:abstractNum>
  <w:abstractNum w:abstractNumId="1749">
    <w:lvl>
      <w:start w:val="3"/>
      <w:numFmt w:val="decimal"/>
      <w:suff w:val="tab"/>
      <w:lvlText w:val="%1."/>
      <w:rPr>
        <w:color w:val="3370ff"/>
      </w:rPr>
    </w:lvl>
  </w:abstractNum>
  <w:abstractNum w:abstractNumId="1750">
    <w:lvl>
      <w:start w:val="4"/>
      <w:numFmt w:val="decimal"/>
      <w:suff w:val="tab"/>
      <w:lvlText w:val="%1."/>
      <w:rPr>
        <w:color w:val="3370ff"/>
      </w:rPr>
    </w:lvl>
  </w:abstractNum>
  <w:abstractNum w:abstractNumId="1751">
    <w:lvl>
      <w:numFmt w:val="bullet"/>
      <w:suff w:val="tab"/>
      <w:lvlText w:val="•"/>
      <w:rPr>
        <w:color w:val="3370ff"/>
      </w:rPr>
    </w:lvl>
  </w:abstractNum>
  <w:abstractNum w:abstractNumId="1752">
    <w:lvl>
      <w:numFmt w:val="bullet"/>
      <w:suff w:val="tab"/>
      <w:lvlText w:val="•"/>
      <w:rPr>
        <w:color w:val="3370ff"/>
      </w:rPr>
    </w:lvl>
  </w:abstractNum>
  <w:abstractNum w:abstractNumId="1753">
    <w:lvl>
      <w:numFmt w:val="bullet"/>
      <w:suff w:val="tab"/>
      <w:lvlText w:val="•"/>
      <w:rPr>
        <w:color w:val="3370ff"/>
      </w:rPr>
    </w:lvl>
  </w:abstractNum>
  <w:abstractNum w:abstractNumId="1754">
    <w:lvl>
      <w:numFmt w:val="bullet"/>
      <w:suff w:val="tab"/>
      <w:lvlText w:val="•"/>
      <w:rPr>
        <w:color w:val="3370ff"/>
      </w:rPr>
    </w:lvl>
  </w:abstractNum>
  <w:abstractNum w:abstractNumId="1755">
    <w:lvl>
      <w:numFmt w:val="bullet"/>
      <w:suff w:val="tab"/>
      <w:lvlText w:val="•"/>
      <w:rPr>
        <w:color w:val="3370ff"/>
      </w:rPr>
    </w:lvl>
  </w:abstractNum>
  <w:abstractNum w:abstractNumId="1756">
    <w:lvl>
      <w:numFmt w:val="bullet"/>
      <w:suff w:val="tab"/>
      <w:lvlText w:val="•"/>
      <w:rPr>
        <w:color w:val="3370ff"/>
      </w:rPr>
    </w:lvl>
  </w:abstractNum>
  <w:abstractNum w:abstractNumId="1757">
    <w:lvl>
      <w:numFmt w:val="bullet"/>
      <w:suff w:val="tab"/>
      <w:lvlText w:val="•"/>
      <w:rPr>
        <w:color w:val="3370ff"/>
      </w:rPr>
    </w:lvl>
  </w:abstractNum>
  <w:abstractNum w:abstractNumId="1758">
    <w:lvl>
      <w:numFmt w:val="bullet"/>
      <w:suff w:val="tab"/>
      <w:lvlText w:val="•"/>
      <w:rPr>
        <w:color w:val="3370ff"/>
      </w:rPr>
    </w:lvl>
  </w:abstractNum>
  <w:abstractNum w:abstractNumId="1759">
    <w:lvl>
      <w:numFmt w:val="bullet"/>
      <w:suff w:val="tab"/>
      <w:lvlText w:val="•"/>
      <w:rPr>
        <w:color w:val="3370ff"/>
      </w:rPr>
    </w:lvl>
  </w:abstractNum>
  <w:abstractNum w:abstractNumId="1760">
    <w:lvl>
      <w:numFmt w:val="bullet"/>
      <w:suff w:val="tab"/>
      <w:lvlText w:val="•"/>
      <w:rPr>
        <w:color w:val="3370ff"/>
      </w:rPr>
    </w:lvl>
  </w:abstractNum>
  <w:abstractNum w:abstractNumId="1761">
    <w:lvl>
      <w:numFmt w:val="bullet"/>
      <w:suff w:val="tab"/>
      <w:lvlText w:val="•"/>
      <w:rPr>
        <w:color w:val="3370ff"/>
      </w:rPr>
    </w:lvl>
  </w:abstractNum>
  <w:abstractNum w:abstractNumId="1762">
    <w:lvl>
      <w:numFmt w:val="bullet"/>
      <w:suff w:val="tab"/>
      <w:lvlText w:val="•"/>
      <w:rPr>
        <w:color w:val="3370ff"/>
      </w:rPr>
    </w:lvl>
  </w:abstractNum>
  <w:abstractNum w:abstractNumId="1763">
    <w:lvl>
      <w:numFmt w:val="bullet"/>
      <w:suff w:val="tab"/>
      <w:lvlText w:val="•"/>
      <w:rPr>
        <w:color w:val="3370ff"/>
      </w:rPr>
    </w:lvl>
  </w:abstractNum>
  <w:abstractNum w:abstractNumId="1764">
    <w:lvl>
      <w:numFmt w:val="bullet"/>
      <w:suff w:val="tab"/>
      <w:lvlText w:val="•"/>
      <w:rPr>
        <w:color w:val="3370ff"/>
      </w:rPr>
    </w:lvl>
  </w:abstractNum>
  <w:abstractNum w:abstractNumId="1765">
    <w:lvl>
      <w:numFmt w:val="bullet"/>
      <w:suff w:val="tab"/>
      <w:lvlText w:val="•"/>
      <w:rPr>
        <w:color w:val="3370ff"/>
      </w:rPr>
    </w:lvl>
  </w:abstractNum>
  <w:abstractNum w:abstractNumId="1766">
    <w:lvl>
      <w:numFmt w:val="bullet"/>
      <w:suff w:val="tab"/>
      <w:lvlText w:val="•"/>
      <w:rPr>
        <w:color w:val="3370ff"/>
      </w:rPr>
    </w:lvl>
  </w:abstractNum>
  <w:abstractNum w:abstractNumId="1767">
    <w:lvl>
      <w:numFmt w:val="bullet"/>
      <w:suff w:val="tab"/>
      <w:lvlText w:val="•"/>
      <w:rPr>
        <w:color w:val="3370ff"/>
      </w:rPr>
    </w:lvl>
  </w:abstractNum>
  <w:abstractNum w:abstractNumId="1768">
    <w:lvl>
      <w:numFmt w:val="bullet"/>
      <w:suff w:val="tab"/>
      <w:lvlText w:val="•"/>
      <w:rPr>
        <w:color w:val="3370ff"/>
      </w:rPr>
    </w:lvl>
  </w:abstractNum>
  <w:abstractNum w:abstractNumId="1769">
    <w:lvl>
      <w:numFmt w:val="bullet"/>
      <w:suff w:val="tab"/>
      <w:lvlText w:val="•"/>
      <w:rPr>
        <w:color w:val="3370ff"/>
      </w:rPr>
    </w:lvl>
  </w:abstractNum>
  <w:abstractNum w:abstractNumId="1770">
    <w:lvl>
      <w:numFmt w:val="bullet"/>
      <w:suff w:val="tab"/>
      <w:lvlText w:val="•"/>
      <w:rPr>
        <w:color w:val="3370ff"/>
      </w:rPr>
    </w:lvl>
  </w:abstractNum>
  <w:abstractNum w:abstractNumId="1771">
    <w:lvl>
      <w:numFmt w:val="bullet"/>
      <w:suff w:val="tab"/>
      <w:lvlText w:val="•"/>
      <w:rPr>
        <w:color w:val="3370ff"/>
      </w:rPr>
    </w:lvl>
  </w:abstractNum>
  <w:abstractNum w:abstractNumId="1772">
    <w:lvl>
      <w:numFmt w:val="bullet"/>
      <w:suff w:val="tab"/>
      <w:lvlText w:val="•"/>
      <w:rPr>
        <w:color w:val="3370ff"/>
      </w:rPr>
    </w:lvl>
  </w:abstractNum>
  <w:abstractNum w:abstractNumId="1773">
    <w:lvl>
      <w:numFmt w:val="bullet"/>
      <w:suff w:val="tab"/>
      <w:lvlText w:val="•"/>
      <w:rPr>
        <w:color w:val="3370ff"/>
      </w:rPr>
    </w:lvl>
  </w:abstractNum>
  <w:abstractNum w:abstractNumId="1774">
    <w:lvl>
      <w:numFmt w:val="bullet"/>
      <w:suff w:val="tab"/>
      <w:lvlText w:val="•"/>
      <w:rPr>
        <w:color w:val="3370ff"/>
      </w:rPr>
    </w:lvl>
  </w:abstractNum>
  <w:abstractNum w:abstractNumId="1775">
    <w:lvl>
      <w:numFmt w:val="bullet"/>
      <w:suff w:val="tab"/>
      <w:lvlText w:val="•"/>
      <w:rPr>
        <w:color w:val="3370ff"/>
      </w:rPr>
    </w:lvl>
  </w:abstractNum>
  <w:abstractNum w:abstractNumId="1776">
    <w:lvl>
      <w:numFmt w:val="bullet"/>
      <w:suff w:val="tab"/>
      <w:lvlText w:val="•"/>
      <w:rPr>
        <w:color w:val="3370ff"/>
      </w:rPr>
    </w:lvl>
  </w:abstractNum>
  <w:abstractNum w:abstractNumId="1777">
    <w:lvl>
      <w:numFmt w:val="bullet"/>
      <w:suff w:val="tab"/>
      <w:lvlText w:val="•"/>
      <w:rPr>
        <w:color w:val="3370ff"/>
      </w:rPr>
    </w:lvl>
  </w:abstractNum>
  <w:abstractNum w:abstractNumId="1778">
    <w:lvl>
      <w:numFmt w:val="bullet"/>
      <w:suff w:val="tab"/>
      <w:lvlText w:val="•"/>
      <w:rPr>
        <w:color w:val="3370ff"/>
      </w:rPr>
    </w:lvl>
  </w:abstractNum>
  <w:num w:numId="1">
    <w:abstractNumId w:val="1747"/>
  </w:num>
  <w:num w:numId="2">
    <w:abstractNumId w:val="1748"/>
  </w:num>
  <w:num w:numId="3">
    <w:abstractNumId w:val="1749"/>
  </w:num>
  <w:num w:numId="4">
    <w:abstractNumId w:val="1750"/>
  </w:num>
  <w:num w:numId="5">
    <w:abstractNumId w:val="1751"/>
  </w:num>
  <w:num w:numId="6">
    <w:abstractNumId w:val="1752"/>
  </w:num>
  <w:num w:numId="7">
    <w:abstractNumId w:val="1753"/>
  </w:num>
  <w:num w:numId="8">
    <w:abstractNumId w:val="1754"/>
  </w:num>
  <w:num w:numId="9">
    <w:abstractNumId w:val="1755"/>
  </w:num>
  <w:num w:numId="10">
    <w:abstractNumId w:val="1756"/>
  </w:num>
  <w:num w:numId="11">
    <w:abstractNumId w:val="1757"/>
  </w:num>
  <w:num w:numId="12">
    <w:abstractNumId w:val="1758"/>
  </w:num>
  <w:num w:numId="13">
    <w:abstractNumId w:val="1759"/>
  </w:num>
  <w:num w:numId="14">
    <w:abstractNumId w:val="1760"/>
  </w:num>
  <w:num w:numId="15">
    <w:abstractNumId w:val="1761"/>
  </w:num>
  <w:num w:numId="16">
    <w:abstractNumId w:val="1762"/>
  </w:num>
  <w:num w:numId="17">
    <w:abstractNumId w:val="1763"/>
  </w:num>
  <w:num w:numId="18">
    <w:abstractNumId w:val="1764"/>
  </w:num>
  <w:num w:numId="19">
    <w:abstractNumId w:val="1765"/>
  </w:num>
  <w:num w:numId="20">
    <w:abstractNumId w:val="1766"/>
  </w:num>
  <w:num w:numId="21">
    <w:abstractNumId w:val="1767"/>
  </w:num>
  <w:num w:numId="22">
    <w:abstractNumId w:val="1768"/>
  </w:num>
  <w:num w:numId="23">
    <w:abstractNumId w:val="1769"/>
  </w:num>
  <w:num w:numId="24">
    <w:abstractNumId w:val="1770"/>
  </w:num>
  <w:num w:numId="25">
    <w:abstractNumId w:val="1771"/>
  </w:num>
  <w:num w:numId="26">
    <w:abstractNumId w:val="1772"/>
  </w:num>
  <w:num w:numId="27">
    <w:abstractNumId w:val="1773"/>
  </w:num>
  <w:num w:numId="28">
    <w:abstractNumId w:val="1774"/>
  </w:num>
  <w:num w:numId="29">
    <w:abstractNumId w:val="1775"/>
  </w:num>
  <w:num w:numId="30">
    <w:abstractNumId w:val="1776"/>
  </w:num>
  <w:num w:numId="31">
    <w:abstractNumId w:val="1777"/>
  </w:num>
  <w:num w:numId="32">
    <w:abstractNumId w:val="1778"/>
  </w:num>
</w:numbering>
</file>

<file path=word/settings.xml><?xml version="1.0" encoding="utf-8"?>
<w:settings xmlns:w="http://schemas.openxmlformats.org/wordprocessingml/2006/main"/>
</file>

<file path=word/styles.xml><?xml version="1.0" encoding="utf-8"?>
<w:styles xmlns:w="http://schemas.openxmlformats.org/wordprocessingml/2006/main"/>
</file>

<file path=word/_rels/document.xml.rels><?xml version="1.0" encoding="UTF-8" standalone="yes"?><Relationships xmlns="http://schemas.openxmlformats.org/package/2006/relationships"><Relationship Id="rId1" Target="settings.xml" Type="http://schemas.openxmlformats.org/officeDocument/2006/relationships/settings"/><Relationship Id="rId2" Target="styles.xml" Type="http://schemas.openxmlformats.org/officeDocument/2006/relationships/styles"/><Relationship Id="rId3" Target="footer1.xml" Type="http://schemas.openxmlformats.org/officeDocument/2006/relationships/footer"/><Relationship Id="rId4" Target="numbering.xml" Type="http://schemas.openxmlformats.org/officeDocument/2006/relationships/numbering"/><Relationship Id="rId5" Target="header1.xml" Type="http://schemas.openxmlformats.org/officeDocument/2006/relationships/header"/></Relationships>
</file>

<file path=docProps/app.xml><?xml version="1.0" encoding="utf-8"?>
<Properties xmlns="http://schemas.openxmlformats.org/officeDocument/2006/extended-properties">
  <Application>Apache POI</Applicat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2026-10-28T03:31:37Z</dcterms:created>
  <dc:creator>Apache POI</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IGC">
    <vt:lpwstr>{"Label":"1","ContentProducer":"001191110102MACQD9K64010000","ProduceID":"7701556226391985151","ReservedCode1":"","ContentPropagator":"","PropagateID":"","ReservedCode2":""}</vt:lpwstr>
  </property>
</Properties>
</file>